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374e" w14:textId="5a23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2023 жылғы 26 желтоқсандағы № 13/86 "2024-2026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2024 жылғы 7 тамыздағы № 18/127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"2024-2026 жылдарға арналған кенттер және ауылдық округтердің бюджеті туралы" 2023 жылғы 26 желтоқсандағы №13/86 (Нормативтік құқықтық актілерді мемлекеттік тіркеу тізілімінде № 191706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584 211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89 234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494 493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594 854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- 10 643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10 643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10 643 мың теңге";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2024-2026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181 659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2 223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179 072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181 716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57 мың теңге";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2024-2026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127 476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4 686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255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122 535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 мың теңге";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2024-2026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90 242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2 237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87 901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92 988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- 2 746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2 746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2 746 мың теңге";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2024-2026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157 628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154 856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157 628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2024-2026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74 650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2 974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71 572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74 650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2024-2026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103 815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4 339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269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99 207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108 942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- 5 127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5 127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5 127 мың теңге";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2024-2026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184 434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1 512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104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182 818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184 436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2024-2026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206 887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4 640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202 039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206 888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2024-2026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78 214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1 545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218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76 295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78 272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мың теңге";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2024-2026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83 543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1 206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82 129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83 544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2024-2026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318 845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9 451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309 134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318 903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 мың теңге".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Жаңаарқа кентінің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4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Ақтау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4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4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Байдалы би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51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Бидайық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54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Мұқажан Жұмажанов атындағы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5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Ералиев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26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Қараағаш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263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кентінің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266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Сейфуллин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269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Талдыбұлақ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27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Түгіскен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тамыздағы №18/127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 №13/86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27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аудандық бюджеттен төменгі тұрған бюджеттерге берілетін нысаналы ағымдағы трансферттер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