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b4aa" w14:textId="1fcb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10/205-VIІI "2024-2026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18/342-VIII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туралы" Жарма аудандық мәслихатының 2024 жылғы 05 қаңтардағы № 10/205-VII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447 586,0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68 307,0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379 279,0 теңге;</w:t>
      </w:r>
    </w:p>
    <w:bookmarkEnd w:id="7"/>
    <w:bookmarkStart w:name="z14" w:id="8"/>
    <w:p>
      <w:pPr>
        <w:spacing w:after="0"/>
        <w:ind w:left="0"/>
        <w:jc w:val="both"/>
      </w:pPr>
      <w:r>
        <w:rPr>
          <w:rFonts w:ascii="Times New Roman"/>
          <w:b w:val="false"/>
          <w:i w:val="false"/>
          <w:color w:val="000000"/>
          <w:sz w:val="28"/>
        </w:rPr>
        <w:t>
      2) шығындар – 455 368,4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- 7 782,4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7 782,4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7 782,4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18/342-VIII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