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a7c5" w14:textId="da1a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29 964,4 мың теңге, соның ішінде:</w:t>
      </w:r>
    </w:p>
    <w:p>
      <w:pPr>
        <w:spacing w:after="0"/>
        <w:ind w:left="0"/>
        <w:jc w:val="both"/>
      </w:pPr>
      <w:r>
        <w:rPr>
          <w:rFonts w:ascii="Times New Roman"/>
          <w:b w:val="false"/>
          <w:i w:val="false"/>
          <w:color w:val="000000"/>
          <w:sz w:val="28"/>
        </w:rPr>
        <w:t>
      салықтық түсімдер – 6 691,0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23 273,4 мың теңге;</w:t>
      </w:r>
    </w:p>
    <w:p>
      <w:pPr>
        <w:spacing w:after="0"/>
        <w:ind w:left="0"/>
        <w:jc w:val="both"/>
      </w:pPr>
      <w:r>
        <w:rPr>
          <w:rFonts w:ascii="Times New Roman"/>
          <w:b w:val="false"/>
          <w:i w:val="false"/>
          <w:color w:val="000000"/>
          <w:sz w:val="28"/>
        </w:rPr>
        <w:t>
      2) шығындар – 31 066,9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- 1 102,5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1 102,5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1 102,5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Бірлікшіл ауылдық округінің бюджетіне субвенция көлемi 18 792,0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19/355-VIII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