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9473" w14:textId="2c99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әкімінің 2024 жылғы 16 ақпандағы № 5 шешімі. Күші жойылды - Абай облысы Жарма ауданы әкімінің 2024 жылғы 6 наурыздағы № 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 әкімінің 06.03.2024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13)-тармақшасына,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2)-тармақшасына, Қазақстан Республикасы төтенше жағдайлар министрінің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ауа райының қолайсыздығына байланысты, Жарма ауданы бойынша қардың көп мөлшерде түсуі және қатты аяз салдарынан, Жарма аудандық төтенше жағдайлардың алдын алу және жою жөніндегі комиссия отырысының 2024 жылғы 16 ақпандағы № 2 хаттамасы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Жарма ауданы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аудан әкімінің орынбасары Б. Е. Самежанов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күші 2024 жылғы 16 ақпаннан бастап туындаған құқықтық қатынастарға қолданылады.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аудан әкімінің орынбасары Б. Е. Самежановқа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