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58f1" w14:textId="08e5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Бесқарағай ауданы Бесқарағай ауылдық округінің Бесқарағай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ауданы Бесқарағай ауылдық округі әкімінің 2024 жылғы 6 тамыздағы № 6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- өзі басқару туралы" Заңының 35–бабы 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2023 жылғы 28 наурыздағы Абай облыстық ономастикалық комиссиясының қорытындысы негізінде және Бесқарағай ауылы тұрғындарының пікірін ескере отырып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Бесқарағай ауданы Бесқарағай ауылдық округінің Бесқарағай ауылының "Советская" көшесі "Талғат Бигелдинов" көшесіне қайта аталсын.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өзіме қалдырамын.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ресми алғашқы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Ю.Слоницкий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