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f1a5" w14:textId="1cff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Ақсуат ауданы бойынша халық үшін қатты тұрмыстық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2024 жылғы 25 желтоқсандағы № 24/7-VIII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 Кодексінің 365-бабы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тармақшасына, "Халық үшін қатты тұрмыстық қалдықтарды жинауға, тасымалдауға, сұрыптауға және көмуге арналған тарифті есептеу әдістемесін бекіту туралы" Қазақстан Республикасы экология, геология және табиғи ресурстар министірінің 2021 жылғы 14 қыркүйектегі № 377 (нормативтік құқықтық актілерді мемлекеттік тіркеу тізілімінде № 24382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Ақсуат ауданыны бойынша халық үшін қатты тұрмыстық қалдықтары жинауға, тасымалдауға, сұрыптауға және көмуге арналған тарифтері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аудандақ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25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Ақсуат ауданы бойынша халық үшін қатты тұрмыстық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салығынсыз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тұрғын 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 үшін бірлігіне (көлеміне) жылдық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2 760,00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