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15dc" w14:textId="f5b1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Балық шаруашылығы комитетінің аумақтық бөлімшелерінің ережелерін бекіту туралы" Қазақстан Республикасы Ауыл шаруашылығы министрлігі Балық шаруашылығы комитеті төрағасының міндетін атқарушының 2024 жылғы 14 ақпандағы № 30-9/27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министрлігінің Балық шаруашылығы комитеті Төрағасының м.а. 2024 жылғы 19 желтоқсандағы № 01-09/177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 Балық шаруашылығы комитетінің аумақтық бөлімшелерінің ережелерін бекіту туралы" Қазақстан Республикасы Ауыл шаруашылығы министрлігі Балық шаруашылығы комитеті төрағасының міндетін атқарушының 2024 жылғы 14 ақпандағы № 30-9/27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мекемеcі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Шымкент қаласы, Қызылорда және Созақ ауданын қоспағанда Түркістан облыстары әкімшілік шекарасының шегіндегі Арал-Сырдария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Түркістан облысының Созақ ауданы және Балқаш көлін қоспағанда Жамбыл облысының әкімшілік шекарасының шегіндегі Шу-Талас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5"/>
    <w:bookmarkStart w:name="z9" w:id="6"/>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комитетінің Кадр, ұйымдастыру және құқықтық жұмыс басқармасы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 Балық шаруашылығы комитетінің аумақтық бөлімшелеріне жеткізілуін;</w:t>
      </w:r>
    </w:p>
    <w:bookmarkEnd w:id="8"/>
    <w:bookmarkStart w:name="z12" w:id="9"/>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9"/>
    <w:bookmarkStart w:name="z13" w:id="10"/>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аумақтық бөлімшелерінің басшылары заңнамада белгіленген тәртіппен осы бұйрықты іске асыру үшін қажетті шараларды қабылдасын.</w:t>
      </w:r>
    </w:p>
    <w:bookmarkEnd w:id="10"/>
    <w:bookmarkStart w:name="z14"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министрлігінің</w:t>
            </w:r>
          </w:p>
          <w:p>
            <w:pPr>
              <w:spacing w:after="20"/>
              <w:ind w:left="20"/>
              <w:jc w:val="both"/>
            </w:pPr>
            <w:r>
              <w:rPr>
                <w:rFonts w:ascii="Times New Roman"/>
                <w:b w:val="false"/>
                <w:i/>
                <w:color w:val="000000"/>
                <w:sz w:val="20"/>
              </w:rPr>
              <w:t>Балық шаруашылығы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Асылбеков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