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a344" w14:textId="a48a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Абай облысы мәслихатының 2024 жылғы 26 қыркүйектегі № 19/131-VIII шешімі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 берілсін.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19/131-VIII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тізбесі</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мәслихатының 22.10.2025 </w:t>
      </w:r>
      <w:r>
        <w:rPr>
          <w:rFonts w:ascii="Times New Roman"/>
          <w:b w:val="false"/>
          <w:i w:val="false"/>
          <w:color w:val="ff0000"/>
          <w:sz w:val="28"/>
        </w:rPr>
        <w:t>№ 31/207-VIII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немесе медициналық бұйымдарды немесе арнайы емдік өнімдерді тағайындау үшін көрсетілімдер (дәрежесі, сатысы, ағымының ауырлығы)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w:t>
            </w:r>
          </w:p>
          <w:p>
            <w:pPr>
              <w:spacing w:after="20"/>
              <w:ind w:left="20"/>
              <w:jc w:val="both"/>
            </w:pPr>
            <w:r>
              <w:rPr>
                <w:rFonts w:ascii="Times New Roman"/>
                <w:b w:val="false"/>
                <w:i w:val="false"/>
                <w:color w:val="000000"/>
                <w:sz w:val="20"/>
              </w:rPr>
              <w:t>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(бастапқы)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p>
            <w:pPr>
              <w:spacing w:after="20"/>
              <w:ind w:left="20"/>
              <w:jc w:val="both"/>
            </w:pPr>
            <w:r>
              <w:rPr>
                <w:rFonts w:ascii="Times New Roman"/>
                <w:b w:val="false"/>
                <w:i w:val="false"/>
                <w:color w:val="000000"/>
                <w:sz w:val="20"/>
              </w:rPr>
              <w:t>
Риоцигуат</w:t>
            </w:r>
          </w:p>
          <w:p>
            <w:pPr>
              <w:spacing w:after="20"/>
              <w:ind w:left="20"/>
              <w:jc w:val="both"/>
            </w:pPr>
            <w:r>
              <w:rPr>
                <w:rFonts w:ascii="Times New Roman"/>
                <w:b w:val="false"/>
                <w:i w:val="false"/>
                <w:color w:val="000000"/>
                <w:sz w:val="20"/>
              </w:rPr>
              <w:t>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қызыл жегі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 Созылмалы тромбоэмболиялық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ауруы, Эйзенменгер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p>
            <w:pPr>
              <w:spacing w:after="20"/>
              <w:ind w:left="20"/>
              <w:jc w:val="both"/>
            </w:pPr>
            <w:r>
              <w:rPr>
                <w:rFonts w:ascii="Times New Roman"/>
                <w:b w:val="false"/>
                <w:i w:val="false"/>
                <w:color w:val="000000"/>
                <w:sz w:val="20"/>
              </w:rPr>
              <w:t>
Бозентан</w:t>
            </w:r>
          </w:p>
          <w:p>
            <w:pPr>
              <w:spacing w:after="20"/>
              <w:ind w:left="20"/>
              <w:jc w:val="both"/>
            </w:pPr>
            <w:r>
              <w:rPr>
                <w:rFonts w:ascii="Times New Roman"/>
                <w:b w:val="false"/>
                <w:i w:val="false"/>
                <w:color w:val="000000"/>
                <w:sz w:val="20"/>
              </w:rPr>
              <w:t>
Ривароксабан</w:t>
            </w:r>
          </w:p>
          <w:p>
            <w:pPr>
              <w:spacing w:after="20"/>
              <w:ind w:left="20"/>
              <w:jc w:val="both"/>
            </w:pPr>
            <w:r>
              <w:rPr>
                <w:rFonts w:ascii="Times New Roman"/>
                <w:b w:val="false"/>
                <w:i w:val="false"/>
                <w:color w:val="000000"/>
                <w:sz w:val="20"/>
              </w:rPr>
              <w:t>
Илопрост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промиелоциттік лейкемия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p>
            <w:pPr>
              <w:spacing w:after="20"/>
              <w:ind w:left="20"/>
              <w:jc w:val="both"/>
            </w:pPr>
            <w:r>
              <w:rPr>
                <w:rFonts w:ascii="Times New Roman"/>
                <w:b w:val="false"/>
                <w:i w:val="false"/>
                <w:color w:val="000000"/>
                <w:sz w:val="20"/>
              </w:rPr>
              <w:t>
Тофацитиниб</w:t>
            </w:r>
          </w:p>
          <w:p>
            <w:pPr>
              <w:spacing w:after="20"/>
              <w:ind w:left="20"/>
              <w:jc w:val="both"/>
            </w:pPr>
            <w:r>
              <w:rPr>
                <w:rFonts w:ascii="Times New Roman"/>
                <w:b w:val="false"/>
                <w:i w:val="false"/>
                <w:color w:val="000000"/>
                <w:sz w:val="20"/>
              </w:rPr>
              <w:t>
Анакинра</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Аутоинфламациялық ауру CANDLE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p>
            <w:pPr>
              <w:spacing w:after="20"/>
              <w:ind w:left="20"/>
              <w:jc w:val="both"/>
            </w:pPr>
            <w:r>
              <w:rPr>
                <w:rFonts w:ascii="Times New Roman"/>
                <w:b w:val="false"/>
                <w:i w:val="false"/>
                <w:color w:val="000000"/>
                <w:sz w:val="20"/>
              </w:rPr>
              <w:t>
Ритуксимаб</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эндокриндік бездің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p>
            <w:pPr>
              <w:spacing w:after="20"/>
              <w:ind w:left="20"/>
              <w:jc w:val="both"/>
            </w:pPr>
            <w:r>
              <w:rPr>
                <w:rFonts w:ascii="Times New Roman"/>
                <w:b w:val="false"/>
                <w:i w:val="false"/>
                <w:color w:val="000000"/>
                <w:sz w:val="20"/>
              </w:rPr>
              <w:t>
Гидрокортизон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дисплазиясы бар және/немесе туа біткен патологиясы бар шала туылған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28 күннен 18 айға дейін, бронхоөкпе дисплазияның ауыр ағымында немесе гемодинамикалық тұрғыдан маңызды жүректің туа біткен кемістіктері болған жағдайда 2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ауыр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синдромындағы эпилепсиялық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(Топамакс), Вальпрой қышқылы (ДепакинХроно)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p>
            <w:pPr>
              <w:spacing w:after="20"/>
              <w:ind w:left="20"/>
              <w:jc w:val="both"/>
            </w:pPr>
            <w:r>
              <w:rPr>
                <w:rFonts w:ascii="Times New Roman"/>
                <w:b w:val="false"/>
                <w:i w:val="false"/>
                <w:color w:val="000000"/>
                <w:sz w:val="20"/>
              </w:rPr>
              <w:t>
Метилпреднизолон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 кезінде-толық ремиссиядан кейін жаңадан пайда болған протеинурия немесе ішінара ремиссиядан кейін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энергетикалық жеткіліксіздікпен бірге жүретін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емдік өнімдер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туа біткен ақаулар (соның ішінде Мобиус синдромы, Бульбар синдромы, мидың ауытқулары және Даун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емдік өнімдер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