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6704" w14:textId="c076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p>
    <w:p>
      <w:pPr>
        <w:spacing w:after="0"/>
        <w:ind w:left="0"/>
        <w:jc w:val="both"/>
      </w:pPr>
      <w:r>
        <w:rPr>
          <w:rFonts w:ascii="Times New Roman"/>
          <w:b w:val="false"/>
          <w:i w:val="false"/>
          <w:color w:val="000000"/>
          <w:sz w:val="28"/>
        </w:rPr>
        <w:t>Абай облысы мәслихатының 2024 жылғы 26 қыркүйектегі № 19/131-VIII шешімі</w:t>
      </w:r>
    </w:p>
    <w:p>
      <w:pPr>
        <w:spacing w:after="0"/>
        <w:ind w:left="0"/>
        <w:jc w:val="both"/>
      </w:pPr>
      <w:bookmarkStart w:name="z5"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12-бабының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 берілсін.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 және 2024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26 қыркүйектегі</w:t>
            </w:r>
            <w:r>
              <w:br/>
            </w:r>
            <w:r>
              <w:rPr>
                <w:rFonts w:ascii="Times New Roman"/>
                <w:b w:val="false"/>
                <w:i w:val="false"/>
                <w:color w:val="000000"/>
                <w:sz w:val="20"/>
              </w:rPr>
              <w:t>№ 19/131-VIII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Абай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тізбесі</w:t>
      </w:r>
    </w:p>
    <w:bookmarkEnd w:id="3"/>
    <w:p>
      <w:pPr>
        <w:spacing w:after="0"/>
        <w:ind w:left="0"/>
        <w:jc w:val="both"/>
      </w:pPr>
      <w:r>
        <w:rPr>
          <w:rFonts w:ascii="Times New Roman"/>
          <w:b w:val="false"/>
          <w:i w:val="false"/>
          <w:color w:val="ff0000"/>
          <w:sz w:val="28"/>
        </w:rPr>
        <w:t xml:space="preserve">
      Ескерту. Қосымша жаңа редакцияда - Абай облысы мәслихатының 08.12.2025 </w:t>
      </w:r>
      <w:r>
        <w:rPr>
          <w:rFonts w:ascii="Times New Roman"/>
          <w:b w:val="false"/>
          <w:i w:val="false"/>
          <w:color w:val="ff0000"/>
          <w:sz w:val="28"/>
        </w:rPr>
        <w:t>№ 32/217-VIII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(жағдайдың)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немесе медициналық бұйымдарды немесе арнайы емдік өнімдерді тағайындау үшін көрсетілімдер (дәрежесі, сатысы, ағымының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немесе медициналық бұйымдардың немесе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(бастапқы)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p>
            <w:pPr>
              <w:spacing w:after="20"/>
              <w:ind w:left="20"/>
              <w:jc w:val="both"/>
            </w:pPr>
            <w:r>
              <w:rPr>
                <w:rFonts w:ascii="Times New Roman"/>
                <w:b w:val="false"/>
                <w:i w:val="false"/>
                <w:color w:val="000000"/>
                <w:sz w:val="20"/>
              </w:rPr>
              <w:t>
Риоцигуат</w:t>
            </w:r>
          </w:p>
          <w:p>
            <w:pPr>
              <w:spacing w:after="20"/>
              <w:ind w:left="20"/>
              <w:jc w:val="both"/>
            </w:pPr>
            <w:r>
              <w:rPr>
                <w:rFonts w:ascii="Times New Roman"/>
                <w:b w:val="false"/>
                <w:i w:val="false"/>
                <w:color w:val="000000"/>
                <w:sz w:val="20"/>
              </w:rPr>
              <w:t>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p>
            <w:pPr>
              <w:spacing w:after="20"/>
              <w:ind w:left="20"/>
              <w:jc w:val="both"/>
            </w:pPr>
            <w:r>
              <w:rPr>
                <w:rFonts w:ascii="Times New Roman"/>
                <w:b w:val="false"/>
                <w:i w:val="false"/>
                <w:color w:val="000000"/>
                <w:sz w:val="20"/>
              </w:rPr>
              <w:t>
Риоцигуат Бозентан</w:t>
            </w:r>
          </w:p>
          <w:p>
            <w:pPr>
              <w:spacing w:after="20"/>
              <w:ind w:left="20"/>
              <w:jc w:val="both"/>
            </w:pPr>
            <w:r>
              <w:rPr>
                <w:rFonts w:ascii="Times New Roman"/>
                <w:b w:val="false"/>
                <w:i w:val="false"/>
                <w:color w:val="000000"/>
                <w:sz w:val="20"/>
              </w:rPr>
              <w:t>
Ривароксабан</w:t>
            </w:r>
          </w:p>
          <w:p>
            <w:pPr>
              <w:spacing w:after="20"/>
              <w:ind w:left="20"/>
              <w:jc w:val="both"/>
            </w:pPr>
            <w:r>
              <w:rPr>
                <w:rFonts w:ascii="Times New Roman"/>
                <w:b w:val="false"/>
                <w:i w:val="false"/>
                <w:color w:val="000000"/>
                <w:sz w:val="20"/>
              </w:rPr>
              <w:t>
Илопрост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Атиптік гемолитикалық 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тапшылығы. Комплимент жүйесіндегі ақау. Тұқым қуалайтын ангионевротикалық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ингибитор - адам эстеразасы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промиелоциттік лейкемия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p>
            <w:pPr>
              <w:spacing w:after="20"/>
              <w:ind w:left="20"/>
              <w:jc w:val="both"/>
            </w:pPr>
            <w:r>
              <w:rPr>
                <w:rFonts w:ascii="Times New Roman"/>
                <w:b w:val="false"/>
                <w:i w:val="false"/>
                <w:color w:val="000000"/>
                <w:sz w:val="20"/>
              </w:rPr>
              <w:t>
Тофацитиниб</w:t>
            </w:r>
          </w:p>
          <w:p>
            <w:pPr>
              <w:spacing w:after="20"/>
              <w:ind w:left="20"/>
              <w:jc w:val="both"/>
            </w:pPr>
            <w:r>
              <w:rPr>
                <w:rFonts w:ascii="Times New Roman"/>
                <w:b w:val="false"/>
                <w:i w:val="false"/>
                <w:color w:val="000000"/>
                <w:sz w:val="20"/>
              </w:rPr>
              <w:t>
Анакинра</w:t>
            </w:r>
          </w:p>
          <w:p>
            <w:pPr>
              <w:spacing w:after="20"/>
              <w:ind w:left="20"/>
              <w:jc w:val="both"/>
            </w:pPr>
            <w:r>
              <w:rPr>
                <w:rFonts w:ascii="Times New Roman"/>
                <w:b w:val="false"/>
                <w:i w:val="false"/>
                <w:color w:val="000000"/>
                <w:sz w:val="20"/>
              </w:rPr>
              <w:t>
Тоцилизумаб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Аутоинфламациялық ауру CANDLE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p>
            <w:pPr>
              <w:spacing w:after="20"/>
              <w:ind w:left="20"/>
              <w:jc w:val="both"/>
            </w:pPr>
            <w:r>
              <w:rPr>
                <w:rFonts w:ascii="Times New Roman"/>
                <w:b w:val="false"/>
                <w:i w:val="false"/>
                <w:color w:val="000000"/>
                <w:sz w:val="20"/>
              </w:rPr>
              <w:t>
Ритуксимаб</w:t>
            </w:r>
          </w:p>
          <w:p>
            <w:pPr>
              <w:spacing w:after="20"/>
              <w:ind w:left="20"/>
              <w:jc w:val="both"/>
            </w:pPr>
            <w:r>
              <w:rPr>
                <w:rFonts w:ascii="Times New Roman"/>
                <w:b w:val="false"/>
                <w:i w:val="false"/>
                <w:color w:val="000000"/>
                <w:sz w:val="20"/>
              </w:rPr>
              <w:t>
Тоцилизумаб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эндокриндік бездің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p>
            <w:pPr>
              <w:spacing w:after="20"/>
              <w:ind w:left="20"/>
              <w:jc w:val="both"/>
            </w:pPr>
            <w:r>
              <w:rPr>
                <w:rFonts w:ascii="Times New Roman"/>
                <w:b w:val="false"/>
                <w:i w:val="false"/>
                <w:color w:val="000000"/>
                <w:sz w:val="20"/>
              </w:rPr>
              <w:t>
Гидрокортизон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Бронхопульмональды дисплазиясы бар және/немесе туа біткен патологиясы бар шала туылған нәрестелер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28 күннен 18 айға дейін, бронхоөкпе дисплазияның ауыр ағымында немесе гемодинамикалық тұрғыдан маңызды жүректің туа біткен кемістіктері болған жағдайда 2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ауыр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 синдромы (Такаясу)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Драве синдромындағы эпилепсиялық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(Топамакс), Вальпрой қышқылы (ДепакинХроно)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p>
            <w:pPr>
              <w:spacing w:after="20"/>
              <w:ind w:left="20"/>
              <w:jc w:val="both"/>
            </w:pPr>
            <w:r>
              <w:rPr>
                <w:rFonts w:ascii="Times New Roman"/>
                <w:b w:val="false"/>
                <w:i w:val="false"/>
                <w:color w:val="000000"/>
                <w:sz w:val="20"/>
              </w:rPr>
              <w:t>
Метилпреднизолон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 нефротикалық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 кезінде-толық ремиссиядан кейін жаңадан пайда болған протеинурия немесе ішінара ремиссиядан кейін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энергетикалық жеткіліксіздікпен бірге жүретін церебральды сал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10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орташа және ауыр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туа біткен ақаулар (соның ішінде Мобиус синдромы, Бульбар синдромы, мидың ауытқулары және Даун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10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орташа және ауыр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