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c4b0" w14:textId="2bcc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2024 жылғы 29 қазандағы № 452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комитетiнің Қарағанды облысы бойынша Мемлекеттік кірістер департаментi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Департаменттің орналасқан жері: пошталық индексі 100000, Қазақстан Республикасы, Қарағанды облысы, Қарағанды қаласы, Нұркен Әбдіров даңғылы, 36/3".</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Қазақстан Республикасының заңнамасында белгіленген тәртіппен осы бұйрықтың көшірмесін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Қаржы министрлiгiнің Мемлекеттік кірістер комитетi Қарағанды облысы бойынша Мемлекеттік кірістер департаментінің (бұдан әрі – Департамент) басшысы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6"/>
    <w:bookmarkStart w:name="z9" w:id="7"/>
    <w:p>
      <w:pPr>
        <w:spacing w:after="0"/>
        <w:ind w:left="0"/>
        <w:jc w:val="both"/>
      </w:pPr>
      <w:r>
        <w:rPr>
          <w:rFonts w:ascii="Times New Roman"/>
          <w:b w:val="false"/>
          <w:i w:val="false"/>
          <w:color w:val="000000"/>
          <w:sz w:val="28"/>
        </w:rPr>
        <w:t>
      2) осы бұйрықты Департаменттің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Қазақстан Республикасы Қаржы министрлігі Мемлекеттік кірістер комитетінің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8"/>
    <w:bookmarkStart w:name="z11"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w:t>
            </w:r>
          </w:p>
          <w:p>
            <w:pPr>
              <w:spacing w:after="20"/>
              <w:ind w:left="20"/>
              <w:jc w:val="both"/>
            </w:pPr>
            <w:r>
              <w:rPr>
                <w:rFonts w:ascii="Times New Roman"/>
                <w:b w:val="false"/>
                <w:i/>
                <w:color w:val="000000"/>
                <w:sz w:val="20"/>
              </w:rPr>
              <w:t>кірістер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