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b6c3" w14:textId="fd5b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Талғар қаласы мен ауылдық округтерінің 2024-2026 жылдарға арналған бюджеттері туралы" Талғар аудандық мәслихатының 2024 жылғы 8 қаңтардағы № 17-67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13 желтоқсандағы № 34-124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2024-2026 жылдарға арналған бюджеттері туралы" 2024 жылғы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17-67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Талғар қаласының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2 569 293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2 569 293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2 626 445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57 152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57 152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57 152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Алатау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399 339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384 417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14 922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411 117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11 778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11 778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11 778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Белбұлақ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527 973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526 973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1 000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547 655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19 682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19 682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19 682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Бесағаш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764 520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757 876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6 644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776 292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11 772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11 772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11 722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Бесқайнар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134 417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104 700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29 717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151 500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17 083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17 083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17 083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Гүлдала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313 510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310 810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2 700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326 468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12 958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12 958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12 958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Кеңдала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322 522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318 390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4 132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327 967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5 445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5 445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5 445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Қайнар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455 762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300 550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155 212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468 404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12 642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12 642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12 642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Нұра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175 820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111 280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64 540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180 093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4 273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4 273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4 273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Панфилов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770 025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769 225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780 078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10 053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10 053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10 053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Тұздыбастау ауылдық округінің бюджеті тиісінше осы шешімнің 31, 32 және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695 589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690 895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4 694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717 168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21 579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21 579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21 579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2 569 293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2 569 293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13 желтоқсандағы № 34-124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