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cea8" w14:textId="0b1c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2023 жылғы 29 желтоқсандағы № 80 "2024-2026 жылдарға арналған Мәртөк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2024 жылғы 19 қарашадағы № 154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"2024-2026 жылдарға арналған Мәртөк ауданының ауылдық округтерінің бюджеттерін бекіту туралы" 2023 жылғы 29 желтоқсандағы № 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132 188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125 729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132 683,1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Аққұдық ауылдық округінің бюджетінде аудандық бюджеттен берілетін трансферттер көлемі – 86 590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43 097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38 295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44 649,9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 жылға арналған Байнассай ауылдық округінің бюджетінде аудандық бюджеттен берілетін трансферттер көлемі – 7 876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45 592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41 343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47 966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2024 жылға арналған Байторысай ауылдық округінің бюджетінде аудандық бюджеттен берілетін трансферттер көлемі – 6 352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80 959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68 104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87 178,8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69 845,7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65 845,7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71 051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2024 жылға арналған Қаратоғай ауылдық округінің бюджетінде аудандық бюджеттен берілетін трансферттер көлемі – 27 291,7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48 350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34 982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58 986,5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42 795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36 365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43 564,2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750 652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622 144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789 728,9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2024 жылға арналған Мәртөк ауылдық округінің бюджетінде аудандық бюджеттен берілетін трансферттер көлемі – 455 688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506 034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482 799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508 062,1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2024 жылға арналған Сарыжар ауылдық округінің бюджетінде аудандық бюджеттен берілетін трансферттер көлемі – 51 861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76 044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62 887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76 983,1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2024 жылға арналған Тәңірберген ауылдық округінің бюджетінде аудандық бюджеттен берілетін трансферттер көлемі – 14 133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39 329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32 201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40 187,8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2024 жылға арналған Хазірет ауылдық округінің бюджетінде аудандық бюджеттен берілетін трансферттер көлемі – 7 309 мың теңге сомасында ескерілсін.";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қарашадағы № 154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қарашадағы № 154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Байнассай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қарашадағы № 154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Байторысай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қарашадағы № 154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қарашадағы № 154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қарашадағы № 154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Қарашай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қарашадағы № 154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Құрмансай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- 10 636,5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қарашадағы № 154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қарашадағы № 154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789 728,9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қарашадағы № 154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Родников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қарашадағы № 154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қарашадағы № 154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Тәңірберген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қарашадағы № 154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Хазірет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