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4bc1" w14:textId="3c94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Тоқмансай ауылдық округі әкімінің 2024 жылғы 11 қарашадағы № 20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 бабы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Республикасының ауыл шаруашылығы министрлігінің ветеринариялық бақылау және қадағалау комитетінің Алға аудандық аумақтық инспекциясы" ММ-нің басшысы Б. Хайтбаевтың 2024 жылғы 11 қарашадағы № 02-06-1/235 ұсынысы негізінде, Тоқмансай ауылдық округінің әкімі ШЕШІМ ЕТТІ: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облысы, Алға ауданы Тоқмансай ауылдық округінің "Жеті қазына" және "Өлетті" шаруа қожалықтары мүйізді ірі қара малдарының арасында қарасан жұқпалы ауруын жою бойынша кешенді ветеринариялық іс-шаралар жүргізіліп, сынамалардың "теріс" нәтиже көрсетуіне байланысты карантин алынып тасталынсын.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Алға ауданы Тоқмансай ауылдық округі әкімінің 2024 жылғы 26 қыркүйектегі № 19 "Ақтөбе облысы Алға ауданы Тоқмансай ауылдық округінің "Жеті қазына" және "Өлетті" шаруа қожалықтары мүйізді ірі қара малдарының арасында қарасан жұқпалы ауруы анықталуына байланысты карантин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оның алғашқы ресми жарияланған күнінен бастап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Тоқмансай ауылдық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 әкімінің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М. Сыражанова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