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acaf" w14:textId="64ea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білімі бар кадрларды даярлауға 2024-2025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2024 жылғы 15 шілдедегі № 191 қаулысы</w:t>
      </w:r>
    </w:p>
    <w:p>
      <w:pPr>
        <w:spacing w:after="0"/>
        <w:ind w:left="0"/>
        <w:jc w:val="both"/>
      </w:pPr>
      <w:bookmarkStart w:name="z2" w:id="0"/>
      <w:r>
        <w:rPr>
          <w:rFonts w:ascii="Times New Roman"/>
          <w:b w:val="false"/>
          <w:i w:val="false"/>
          <w:color w:val="000000"/>
          <w:sz w:val="28"/>
        </w:rPr>
        <w:t xml:space="preserve">
      "Білім туралы" Қазақстан Республикасы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бұйрығы (Нормативтік құқықтық актілерді мемлекеттік тіркеу тізілімінде № 29323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техникалық және кәсіптік, орта білімнен кейінгі білімі бар кадрларды даярлауға 2024-2025 оқу жылына арналған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15 шілдедегі № 191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Техникалық және кәсіптік білімі бар мамандарды даярлауға 2024-2025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02.04.2025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тапсырысының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01140700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жіне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(ерекше білім беруге қажеттілігі бар студенттерге арналған арнайы бағдарлама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бойынша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