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c31e" w14:textId="fefc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облыстық мәслихатының 2024 жылғы 25 қыркүйектегі № 162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Ақтөбе облыстық мәслихаты ШЕШТІ:</w:t>
      </w:r>
    </w:p>
    <w:bookmarkEnd w:id="0"/>
    <w:bookmarkStart w:name="z3" w:id="1"/>
    <w:p>
      <w:pPr>
        <w:spacing w:after="0"/>
        <w:ind w:left="0"/>
        <w:jc w:val="both"/>
      </w:pPr>
      <w:r>
        <w:rPr>
          <w:rFonts w:ascii="Times New Roman"/>
          <w:b w:val="false"/>
          <w:i w:val="false"/>
          <w:color w:val="000000"/>
          <w:sz w:val="28"/>
        </w:rPr>
        <w:t>
      1. Ақтөбе облысының жергілікті атқарушы органы айқындаған тәртібі мен шарттарына сәйкес түзету коэффициентін есепке алмағанда,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жүз пайыз мөлшерінде ынталандыру үстемеақылары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27.06.2025 </w:t>
      </w:r>
      <w:r>
        <w:rPr>
          <w:rFonts w:ascii="Times New Roman"/>
          <w:b w:val="false"/>
          <w:i w:val="false"/>
          <w:color w:val="000000"/>
          <w:sz w:val="28"/>
        </w:rPr>
        <w:t>№ 229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