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3cfe" w14:textId="3de3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білімі бар кадрларды даярлауға 2023-2024 оқу жылына арналған мемлекеттік білім беру тапсырысын бекіту туралы" Ақтөбе облысы әкімдігінің 2023 жылғы 24 қазандағы № 286 қаулысына өзгеріс енгізу туралы</w:t>
      </w:r>
    </w:p>
    <w:p>
      <w:pPr>
        <w:spacing w:after="0"/>
        <w:ind w:left="0"/>
        <w:jc w:val="both"/>
      </w:pPr>
      <w:r>
        <w:rPr>
          <w:rFonts w:ascii="Times New Roman"/>
          <w:b w:val="false"/>
          <w:i w:val="false"/>
          <w:color w:val="000000"/>
          <w:sz w:val="28"/>
        </w:rPr>
        <w:t>Ақтөбе облысы әкімдігінің 2024 жылғы 18 қаңтардағы № 12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техникалық және кәсіптік, орта білімнен кейінгі білімі бар кадрларды даярлауға 2023-2024 оқу жылына арналған мемлекеттік білім беру тапсырысын бекіту туралы" Ақтөбе облысы әкімдігінің 2023 жылғы қазандағы № 286 қаулысына (Нормативтік құқықтық актілерді мемлекеттік тіркеу тізілімінде № 187628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2024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18 қаңтардағы </w:t>
            </w:r>
            <w:r>
              <w:br/>
            </w:r>
            <w:r>
              <w:rPr>
                <w:rFonts w:ascii="Times New Roman"/>
                <w:b w:val="false"/>
                <w:i w:val="false"/>
                <w:color w:val="000000"/>
                <w:sz w:val="20"/>
              </w:rPr>
              <w:t>№ 12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286 қаулысына 1-қосымша</w:t>
            </w:r>
          </w:p>
        </w:tc>
      </w:tr>
    </w:tbl>
    <w:p>
      <w:pPr>
        <w:spacing w:after="0"/>
        <w:ind w:left="0"/>
        <w:jc w:val="left"/>
      </w:pPr>
      <w:r>
        <w:rPr>
          <w:rFonts w:ascii="Times New Roman"/>
          <w:b/>
          <w:i w:val="false"/>
          <w:color w:val="000000"/>
        </w:rPr>
        <w:t xml:space="preserve"> 2023-2024 оқу жылына арналған техникалық жəне кəсіптік білімі бар кадрларды даярлауға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жедел технологиялық байланыс құрылғыларын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(ерекше білім беруге қажеттілігі бар студенттерге арналған арнайы бағдарлама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