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3860" w14:textId="edd3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2023 жылғы 26 желтоқсандағы № 8С-14/2 "2024-2026 жылдарға арналған кенттердің,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2024 жылғы 8 қарашадағы № 8С-26/2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"2024-2026 жылдарға арналған кенттердің, ауылдық округтердің бюджеттері туралы" 2023 жылғы 26 желтоқсандағы № 8С-14/2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268 876,8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127 822,4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1 815,6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139 238,8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288 877,3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49 912,9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16 957,9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52 912,9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139 927,6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37 561,6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3 321,7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99 044,3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139 927,6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108 471,2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93 512,2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110 671,2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168 830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150 726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177 030,1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36 852,4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9 787,6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27 064,8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38 512,4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36 362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37 862,2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69 405,9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6 491,2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2 610,4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60 224,3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73 437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29 877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31 835 мың теңге;";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Шортанды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Жолымбет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Дамса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Новокубанка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Бозайғыр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Бектау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Петровка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Андреевка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Раевка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Пригородный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Новоселовка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