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4e8c" w14:textId="4194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Рахымжан Қошқарбаев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293/36-8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353/46-8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Рахымжан Қошқарбаев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54 185,1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42 245,1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-4 319,5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4 319,5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4 319,5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353/46-8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2025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353/46-8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353/46-8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