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3eab" w14:textId="f563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Зеренді аудандық мәслихатының 2024 жылғы 26 желтоқсандағы № 26-186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шешiм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