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ee67" w14:textId="343e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22 желтоқсандағы № 8С-18-1 "2024-2026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16 тамыздағы № 8С-30-1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2024-2026 жылдарға арналған ауылдарының, ауылдық округтерінің бюджеттері туралы" 2023 жылғы 22 желтоқсандағы № 8С-18-1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Белағаш ауылының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35311,9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(-938)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Беловод ауылдық округінің бюджеті тиісінше 4, 5 және 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(-7594,5)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7594,5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Жақсы ауылының бюджеті тиісінше 7, 8 және 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241066,6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192693,1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250121,6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9055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Жаңа Қийма ауылдық округінің бюджеті тиісінше 10, 11 және 12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108415,3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115301,1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(-6885,8)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6885,8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Запорожье ауылдық округінің бюджеті тиісінше 13, 14 және 15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(-843,1)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843,1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Ешім ауылдық округінің тиісінше 16, 17 және 18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185361,1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187946,3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(-2585,2)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Калинин ауылдық округінің тиісінше 19, 20 және 21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46747,2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(-4700)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Киев ауылының бюджеті тиісінше 22, 23 және 24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(-3011)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Қызылсай ауылдық округінің тиісінше 25, 26 және 27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46287,8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(-2479,7)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Новокиенка ауылының бюджеті тиісінше 28, 29 және 30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Подгорное ауылының бюджеті тиісінше 31, 32 және 33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83866,6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78299,9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83996,3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Тарасов ауылдық округінің бюджеті тиісінше 34, 35 және 36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Терісаққан ауылының бюджеті тиісінше 37, 38 және 39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47529,8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(-2940,5)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Чапай ауылының бюджеті тиісінше 40, 41 және 42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(-929)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929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Беловод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Қийма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Запорожье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Ешім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Киев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Новокиенка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Подгорное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Тарасов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Чапай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кентішілік 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 ішіндегі жолдарды орташа жөндеу-Элеваторная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 ішіндегі жолдарды орташа жөндеу-Жақыпов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Кийма ауылындағы Райавтодор көшесіндегі асфальт жабыны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Кийма ауылындағы М. Мәметова көшесіндегі асфальт төселген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Тәуелсіздік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ауылының Тауасар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ауылындағы Интернациональная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ауылындағы Рагузов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округінің Ақан Сері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Подгорное ауылындағы Школьная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Тарасовка ауылының 25 жыл Целины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Терісаққан ауылындағы Майкотов көшесіндегі кентішілік жолдарды орташа жөндеу / 2-учаске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ағымдағы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принтерді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үшін планшет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Туктубаев және Советская көшелерінде су өткізу науаларын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кентішілік жолдарын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кіреберісіне грейдердің қиыршық тасымен толтыру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(елтаңба, 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аумағында темір қоршаулар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Планшетті, термопринтерді, компьютерді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еңбегіне ақы төлеу 2 бірлік от жағушы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төлем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шығаруға және жинауға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