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6dc4" w14:textId="4ae6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19 қыркүйектегі № 8С23-8 шешімі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Егіндікөл ауданының әкімдігі айқындаған тәртібі мен шарттарында жергілікті бюджеттен қаржыландырылатын Егіндікөл ауданы ішкі саясат, мәдениет, тілдерді дамыту және спорт бөлімінің "Жастар ресурстық орталығы" коммуналдық мемлекеттік мекемесі, Егіндікөл ауданы ішкі саясат, мәдениет, тілдерді дамыту және спорт бөлімінің "Тілдерді оқыту орталығы" коммуналдық мемлекеттік мекемесі жұмыскерлерінің лауазымдық айлықақыларына жергілікті бюджет қаражаты есебінен 30 пайыз мөлшерінде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шешім 2024 жылғы 1 қазаннан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