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b929" w14:textId="48db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Бұланды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2024 жылғы 11 қарашадағы № 8С-23/14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актілерінің мемлекеттік тізілімінде № 85702 болып тіркелген),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Бұланды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бюджеттік кредит айлық есептік көрсеткіштің екі мың еселенген мөлшерінен аспайтын сомада әлеуметтік қолдау.</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