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a850" w14:textId="6e9a8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әскери-техникалық және өзге де мамандықтар бойынша даярлаудың нысаналы индикаторлары мен нәтиже көрсеткішін есептеу әдістемесін бекіту туралы</w:t>
      </w:r>
    </w:p>
    <w:p>
      <w:pPr>
        <w:spacing w:after="0"/>
        <w:ind w:left="0"/>
        <w:jc w:val="both"/>
      </w:pPr>
      <w:r>
        <w:rPr>
          <w:rFonts w:ascii="Times New Roman"/>
          <w:b w:val="false"/>
          <w:i w:val="false"/>
          <w:color w:val="000000"/>
          <w:sz w:val="28"/>
        </w:rPr>
        <w:t>Қазақстан Республикасы Қорғаныс министрінің 2024 жылғы 27 қарашадағы № 1387 бұйрығы</w:t>
      </w:r>
    </w:p>
    <w:p>
      <w:pPr>
        <w:spacing w:after="0"/>
        <w:ind w:left="0"/>
        <w:jc w:val="both"/>
      </w:pPr>
      <w:bookmarkStart w:name="z1" w:id="0"/>
      <w:r>
        <w:rPr>
          <w:rFonts w:ascii="Times New Roman"/>
          <w:b w:val="false"/>
          <w:i w:val="false"/>
          <w:color w:val="000000"/>
          <w:sz w:val="28"/>
        </w:rPr>
        <w:t xml:space="preserve">
      "Қазақстан Республикасының Ұлттық даму жоспарын, мемлекеттік органдардың даму жоспарларын, облыстардың, республикалық маңызы бар қалалардың, астананың даму жоспарларын әзірлеу, іске асыру, мониторингін жүргізу және түзету әдістемесін бекіту туралы" Қазақстан Республикасы Ұлттық экономика министрінің 2021 жылғы 25 қазандағы № 93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24908 болып тіркелген)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Азаматтарды әскери-техникалық және өзге де мамандықтар бойынша даярлаудың нысаналы индикаторлары мен нәтиже көрсеткішін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осы бұйрықты мемлекеттік тіркелген күннен бастап күнтізбелік он күн ішінде электрондық түрде қазақ және орыс тілдерінде деректемелер түрінде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6"/>
    <w:bookmarkStart w:name="z8"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Стратегиялық жоспарлау және</w:t>
      </w:r>
    </w:p>
    <w:p>
      <w:pPr>
        <w:spacing w:after="0"/>
        <w:ind w:left="0"/>
        <w:jc w:val="both"/>
      </w:pPr>
      <w:r>
        <w:rPr>
          <w:rFonts w:ascii="Times New Roman"/>
          <w:b w:val="false"/>
          <w:i w:val="false"/>
          <w:color w:val="000000"/>
          <w:sz w:val="28"/>
        </w:rPr>
        <w:t>
      реформалар агенттігінің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2024 жылғы 27 қараша</w:t>
            </w:r>
            <w:r>
              <w:br/>
            </w:r>
            <w:r>
              <w:rPr>
                <w:rFonts w:ascii="Times New Roman"/>
                <w:b w:val="false"/>
                <w:i w:val="false"/>
                <w:color w:val="000000"/>
                <w:sz w:val="20"/>
              </w:rPr>
              <w:t>№ 1387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Азаматтарды әскери-техникалық және өзге де мамандықтар бойынша даярлаудың нысаналы индикаторлары мен нәтиже көрсеткішін есептеу  әдістемесі</w:t>
      </w:r>
    </w:p>
    <w:bookmarkEnd w:id="9"/>
    <w:bookmarkStart w:name="z14" w:id="10"/>
    <w:p>
      <w:pPr>
        <w:spacing w:after="0"/>
        <w:ind w:left="0"/>
        <w:jc w:val="left"/>
      </w:pPr>
      <w:r>
        <w:rPr>
          <w:rFonts w:ascii="Times New Roman"/>
          <w:b/>
          <w:i w:val="false"/>
          <w:color w:val="000000"/>
        </w:rPr>
        <w:t xml:space="preserve"> 1-бөлім. Есептеуге жататын нысаналы индикаторлар мен нәтиже көрсеткішінің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мен нәтиже көрсеткішінің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 түрі (ресми статистикалық ақпарат, халықаралық статистика, әкімшілік деректер)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құрылымдық ұйымдарынан іріктелген әскери-техникалық және өзге де мамандар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министрлігінің әкімшілік деректері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министрлігінің мамандандырылған ұйымдарын бітірген әскери-техникалық және өзге де мамандар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әкімшілік деректері</w:t>
            </w:r>
          </w:p>
        </w:tc>
      </w:tr>
    </w:tbl>
    <w:bookmarkStart w:name="z12" w:id="11"/>
    <w:p>
      <w:pPr>
        <w:spacing w:after="0"/>
        <w:ind w:left="0"/>
        <w:jc w:val="left"/>
      </w:pPr>
      <w:r>
        <w:rPr>
          <w:rFonts w:ascii="Times New Roman"/>
          <w:b/>
          <w:i w:val="false"/>
          <w:color w:val="000000"/>
        </w:rPr>
        <w:t xml:space="preserve"> 2-бөлім.</w:t>
      </w:r>
    </w:p>
    <w:bookmarkEnd w:id="11"/>
    <w:bookmarkStart w:name="z13" w:id="12"/>
    <w:p>
      <w:pPr>
        <w:spacing w:after="0"/>
        <w:ind w:left="0"/>
        <w:jc w:val="left"/>
      </w:pPr>
      <w:r>
        <w:rPr>
          <w:rFonts w:ascii="Times New Roman"/>
          <w:b/>
          <w:i w:val="false"/>
          <w:color w:val="000000"/>
        </w:rPr>
        <w:t xml:space="preserve"> 1. "Қорғаныс істері жөніндегі департаменттерде іріктелген әскери-техникалық және өзге де мамандар саны, бар кемшіліктер және оларды жою бойынша қабылданатын шаралар" нысаналы индикаторлары мен нәтиже көрсеткішін есептеу алгоритмі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мен нәтиже көрсеткішін айқындау (ұғымдық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Қорғаныс істері жөніндегі департаменттерде әскери-техникалық мектептердің филиалдарына оқуға түскен әскери-техникалық және өзге де мамандар санының өсу серпінін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мен нәтиже көрсеткіші бойынша жедел, алдын ала және есептік деректер жасау кезеңділігі мен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бір жылда 2 рет көктемгі және күзгі шақыру кезеңі аяқталғаннан кейін жасалады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жүйеге және нысаналы индикатор мен нәтиже көрсеткіші бойынша (болса) есептік деректерді орналастыру орнына сілтеме көрсетілген (веб-сайтқа және ақпараттық жүйеге сілтеме көрсетілген) ақпарат көзі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министрлігінің мамандандырылған ұйымдарында əскери-техникалық жəне өзге де мамандықтар бойынша əскерге шақырылушыларды, əскери міндеттілерді жинау, оларды жіберу жəне өтеусіз жəне өтеулі негіздерде оқыту, оқу-тəрбие процесін ұйымдастыру қағидаларын, сондай-ақ оқу мерзімдерін бекіту туралы" Қазақстан Республикасы Қорғаныс министрінің 2017 жылғы 17 шілдедегі № 357 бұйрығына өзгерістер енгізу туралы" Қазақстан Республикасы Қорғаныс министрінің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Орналасқан жері: Қорғаныс министрлігінің ресми интернет-ресурсы https://www.gov.kz/memleket/entities/mod?lang=ru&amp;ysclid=lte2an3p6p688920140 ("Әскери-патриоттық тәрбие беру" бөлімінде)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көрсетіп есептеудің егжей-тегжейлі және айқын бірізділігі көрсетілген нысаналы индикатор мен нәтиже көрсеткішінің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мен нәтиже көрсеткішін есептеу мынадай формула бойынша жүргізіледі: </w:t>
            </w:r>
          </w:p>
          <w:p>
            <w:pPr>
              <w:spacing w:after="20"/>
              <w:ind w:left="20"/>
              <w:jc w:val="both"/>
            </w:pPr>
            <w:r>
              <w:rPr>
                <w:rFonts w:ascii="Times New Roman"/>
                <w:b w:val="false"/>
                <w:i w:val="false"/>
                <w:color w:val="000000"/>
                <w:sz w:val="20"/>
              </w:rPr>
              <w:t>
іӘТМ = А1+А2+А3+А4……….А20*100% онда:  қажетС</w:t>
            </w:r>
          </w:p>
          <w:p>
            <w:pPr>
              <w:spacing w:after="20"/>
              <w:ind w:left="20"/>
              <w:jc w:val="both"/>
            </w:pPr>
            <w:r>
              <w:rPr>
                <w:rFonts w:ascii="Times New Roman"/>
                <w:b w:val="false"/>
                <w:i w:val="false"/>
                <w:color w:val="000000"/>
                <w:sz w:val="20"/>
              </w:rPr>
              <w:t>
іӘТМ – қорғаныс істері жөніндегі департаменттерде (бұдан әрі - ҚІД) іріктеген әскери-техникалық және өзге де мамандар;</w:t>
            </w:r>
          </w:p>
          <w:p>
            <w:pPr>
              <w:spacing w:after="20"/>
              <w:ind w:left="20"/>
              <w:jc w:val="both"/>
            </w:pPr>
            <w:r>
              <w:rPr>
                <w:rFonts w:ascii="Times New Roman"/>
                <w:b w:val="false"/>
                <w:i w:val="false"/>
                <w:color w:val="000000"/>
                <w:sz w:val="20"/>
              </w:rPr>
              <w:t>
қажетС – оқытылатын әскери-техникалық мамандардың жоспарланған қажетті саны;</w:t>
            </w:r>
          </w:p>
          <w:p>
            <w:pPr>
              <w:spacing w:after="20"/>
              <w:ind w:left="20"/>
              <w:jc w:val="both"/>
            </w:pPr>
            <w:r>
              <w:rPr>
                <w:rFonts w:ascii="Times New Roman"/>
                <w:b w:val="false"/>
                <w:i w:val="false"/>
                <w:color w:val="000000"/>
                <w:sz w:val="20"/>
              </w:rPr>
              <w:t>
А1 - Астана қаласының ҚІД;</w:t>
            </w:r>
          </w:p>
          <w:p>
            <w:pPr>
              <w:spacing w:after="20"/>
              <w:ind w:left="20"/>
              <w:jc w:val="both"/>
            </w:pPr>
            <w:r>
              <w:rPr>
                <w:rFonts w:ascii="Times New Roman"/>
                <w:b w:val="false"/>
                <w:i w:val="false"/>
                <w:color w:val="000000"/>
                <w:sz w:val="20"/>
              </w:rPr>
              <w:t>
А2 - Алматы қаласының ҚІД;</w:t>
            </w:r>
          </w:p>
          <w:p>
            <w:pPr>
              <w:spacing w:after="20"/>
              <w:ind w:left="20"/>
              <w:jc w:val="both"/>
            </w:pPr>
            <w:r>
              <w:rPr>
                <w:rFonts w:ascii="Times New Roman"/>
                <w:b w:val="false"/>
                <w:i w:val="false"/>
                <w:color w:val="000000"/>
                <w:sz w:val="20"/>
              </w:rPr>
              <w:t>
А3 - Ақмола облысының ҚІД;</w:t>
            </w:r>
          </w:p>
          <w:p>
            <w:pPr>
              <w:spacing w:after="20"/>
              <w:ind w:left="20"/>
              <w:jc w:val="both"/>
            </w:pPr>
            <w:r>
              <w:rPr>
                <w:rFonts w:ascii="Times New Roman"/>
                <w:b w:val="false"/>
                <w:i w:val="false"/>
                <w:color w:val="000000"/>
                <w:sz w:val="20"/>
              </w:rPr>
              <w:t>
А4 - Ақтөбе облысының ҚІД;</w:t>
            </w:r>
          </w:p>
          <w:p>
            <w:pPr>
              <w:spacing w:after="20"/>
              <w:ind w:left="20"/>
              <w:jc w:val="both"/>
            </w:pPr>
            <w:r>
              <w:rPr>
                <w:rFonts w:ascii="Times New Roman"/>
                <w:b w:val="false"/>
                <w:i w:val="false"/>
                <w:color w:val="000000"/>
                <w:sz w:val="20"/>
              </w:rPr>
              <w:t>
А5 - Алматы облысының ҚІД;</w:t>
            </w:r>
          </w:p>
          <w:p>
            <w:pPr>
              <w:spacing w:after="20"/>
              <w:ind w:left="20"/>
              <w:jc w:val="both"/>
            </w:pPr>
            <w:r>
              <w:rPr>
                <w:rFonts w:ascii="Times New Roman"/>
                <w:b w:val="false"/>
                <w:i w:val="false"/>
                <w:color w:val="000000"/>
                <w:sz w:val="20"/>
              </w:rPr>
              <w:t>
А6 - Атырау облысының ҚІД;</w:t>
            </w:r>
          </w:p>
          <w:p>
            <w:pPr>
              <w:spacing w:after="20"/>
              <w:ind w:left="20"/>
              <w:jc w:val="both"/>
            </w:pPr>
            <w:r>
              <w:rPr>
                <w:rFonts w:ascii="Times New Roman"/>
                <w:b w:val="false"/>
                <w:i w:val="false"/>
                <w:color w:val="000000"/>
                <w:sz w:val="20"/>
              </w:rPr>
              <w:t>
А7 - Шығыс Қазақстан облысының ҚІД;</w:t>
            </w:r>
          </w:p>
          <w:p>
            <w:pPr>
              <w:spacing w:after="20"/>
              <w:ind w:left="20"/>
              <w:jc w:val="both"/>
            </w:pPr>
            <w:r>
              <w:rPr>
                <w:rFonts w:ascii="Times New Roman"/>
                <w:b w:val="false"/>
                <w:i w:val="false"/>
                <w:color w:val="000000"/>
                <w:sz w:val="20"/>
              </w:rPr>
              <w:t>
А8 - Батыс Қазақстан облысының ҚІД;</w:t>
            </w:r>
          </w:p>
          <w:p>
            <w:pPr>
              <w:spacing w:after="20"/>
              <w:ind w:left="20"/>
              <w:jc w:val="both"/>
            </w:pPr>
            <w:r>
              <w:rPr>
                <w:rFonts w:ascii="Times New Roman"/>
                <w:b w:val="false"/>
                <w:i w:val="false"/>
                <w:color w:val="000000"/>
                <w:sz w:val="20"/>
              </w:rPr>
              <w:t>
А9 - Солтүстік Қазақстан облысының ҚІД;</w:t>
            </w:r>
          </w:p>
          <w:p>
            <w:pPr>
              <w:spacing w:after="20"/>
              <w:ind w:left="20"/>
              <w:jc w:val="both"/>
            </w:pPr>
            <w:r>
              <w:rPr>
                <w:rFonts w:ascii="Times New Roman"/>
                <w:b w:val="false"/>
                <w:i w:val="false"/>
                <w:color w:val="000000"/>
                <w:sz w:val="20"/>
              </w:rPr>
              <w:t>
А10 - Жамбыл облысының ҚІД;</w:t>
            </w:r>
          </w:p>
          <w:p>
            <w:pPr>
              <w:spacing w:after="20"/>
              <w:ind w:left="20"/>
              <w:jc w:val="both"/>
            </w:pPr>
            <w:r>
              <w:rPr>
                <w:rFonts w:ascii="Times New Roman"/>
                <w:b w:val="false"/>
                <w:i w:val="false"/>
                <w:color w:val="000000"/>
                <w:sz w:val="20"/>
              </w:rPr>
              <w:t>
А11 - Қарағанды облысының ҚІД;</w:t>
            </w:r>
          </w:p>
          <w:p>
            <w:pPr>
              <w:spacing w:after="20"/>
              <w:ind w:left="20"/>
              <w:jc w:val="both"/>
            </w:pPr>
            <w:r>
              <w:rPr>
                <w:rFonts w:ascii="Times New Roman"/>
                <w:b w:val="false"/>
                <w:i w:val="false"/>
                <w:color w:val="000000"/>
                <w:sz w:val="20"/>
              </w:rPr>
              <w:t>
А12 - Қызылорда облысының ҚІД;</w:t>
            </w:r>
          </w:p>
          <w:p>
            <w:pPr>
              <w:spacing w:after="20"/>
              <w:ind w:left="20"/>
              <w:jc w:val="both"/>
            </w:pPr>
            <w:r>
              <w:rPr>
                <w:rFonts w:ascii="Times New Roman"/>
                <w:b w:val="false"/>
                <w:i w:val="false"/>
                <w:color w:val="000000"/>
                <w:sz w:val="20"/>
              </w:rPr>
              <w:t>
А13 - Қостанай облысының ҚІД;</w:t>
            </w:r>
          </w:p>
          <w:p>
            <w:pPr>
              <w:spacing w:after="20"/>
              <w:ind w:left="20"/>
              <w:jc w:val="both"/>
            </w:pPr>
            <w:r>
              <w:rPr>
                <w:rFonts w:ascii="Times New Roman"/>
                <w:b w:val="false"/>
                <w:i w:val="false"/>
                <w:color w:val="000000"/>
                <w:sz w:val="20"/>
              </w:rPr>
              <w:t>
А14 - Маңғыстау облысының ҚІД;</w:t>
            </w:r>
          </w:p>
          <w:p>
            <w:pPr>
              <w:spacing w:after="20"/>
              <w:ind w:left="20"/>
              <w:jc w:val="both"/>
            </w:pPr>
            <w:r>
              <w:rPr>
                <w:rFonts w:ascii="Times New Roman"/>
                <w:b w:val="false"/>
                <w:i w:val="false"/>
                <w:color w:val="000000"/>
                <w:sz w:val="20"/>
              </w:rPr>
              <w:t>
А15 - Павлодар облысының ҚІД;</w:t>
            </w:r>
          </w:p>
          <w:p>
            <w:pPr>
              <w:spacing w:after="20"/>
              <w:ind w:left="20"/>
              <w:jc w:val="both"/>
            </w:pPr>
            <w:r>
              <w:rPr>
                <w:rFonts w:ascii="Times New Roman"/>
                <w:b w:val="false"/>
                <w:i w:val="false"/>
                <w:color w:val="000000"/>
                <w:sz w:val="20"/>
              </w:rPr>
              <w:t>
А16 - Түркістан облысының ҚІД;</w:t>
            </w:r>
          </w:p>
          <w:p>
            <w:pPr>
              <w:spacing w:after="20"/>
              <w:ind w:left="20"/>
              <w:jc w:val="both"/>
            </w:pPr>
            <w:r>
              <w:rPr>
                <w:rFonts w:ascii="Times New Roman"/>
                <w:b w:val="false"/>
                <w:i w:val="false"/>
                <w:color w:val="000000"/>
                <w:sz w:val="20"/>
              </w:rPr>
              <w:t>
А17 - Шымкент қаласының ҚІД;</w:t>
            </w:r>
          </w:p>
          <w:p>
            <w:pPr>
              <w:spacing w:after="20"/>
              <w:ind w:left="20"/>
              <w:jc w:val="both"/>
            </w:pPr>
            <w:r>
              <w:rPr>
                <w:rFonts w:ascii="Times New Roman"/>
                <w:b w:val="false"/>
                <w:i w:val="false"/>
                <w:color w:val="000000"/>
                <w:sz w:val="20"/>
              </w:rPr>
              <w:t>
А18 - Абай облысының ҚІД;</w:t>
            </w:r>
          </w:p>
          <w:p>
            <w:pPr>
              <w:spacing w:after="20"/>
              <w:ind w:left="20"/>
              <w:jc w:val="both"/>
            </w:pPr>
            <w:r>
              <w:rPr>
                <w:rFonts w:ascii="Times New Roman"/>
                <w:b w:val="false"/>
                <w:i w:val="false"/>
                <w:color w:val="000000"/>
                <w:sz w:val="20"/>
              </w:rPr>
              <w:t>
А19 - Жетісу облысының ҚІД;</w:t>
            </w:r>
          </w:p>
          <w:p>
            <w:pPr>
              <w:spacing w:after="20"/>
              <w:ind w:left="20"/>
              <w:jc w:val="both"/>
            </w:pPr>
            <w:r>
              <w:rPr>
                <w:rFonts w:ascii="Times New Roman"/>
                <w:b w:val="false"/>
                <w:i w:val="false"/>
                <w:color w:val="000000"/>
                <w:sz w:val="20"/>
              </w:rPr>
              <w:t>
А20 - Ұлытау облысының ҚІД.</w:t>
            </w:r>
          </w:p>
          <w:p>
            <w:pPr>
              <w:spacing w:after="20"/>
              <w:ind w:left="20"/>
              <w:jc w:val="both"/>
            </w:pPr>
            <w:r>
              <w:rPr>
                <w:rFonts w:ascii="Times New Roman"/>
                <w:b w:val="false"/>
                <w:i w:val="false"/>
                <w:color w:val="000000"/>
                <w:sz w:val="20"/>
              </w:rPr>
              <w:t>
Өлшем бірлігі: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(қажет болса облыстық/аудандық/қалалық деңгейде көрсетілсін)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мен нәтиже көрсеткіштеріне қол жеткізуде әрбір бірге орындайтын мемлекеттік органның қосқан үлесін айқындап, каскадтау немесе декомпозициялау арқылы жоғары тұрған МЖЖ құжаттарының көрсеткішімен өзара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 w:id="13"/>
    <w:p>
      <w:pPr>
        <w:spacing w:after="0"/>
        <w:ind w:left="0"/>
        <w:jc w:val="left"/>
      </w:pPr>
      <w:r>
        <w:rPr>
          <w:rFonts w:ascii="Times New Roman"/>
          <w:b/>
          <w:i w:val="false"/>
          <w:color w:val="000000"/>
        </w:rPr>
        <w:t xml:space="preserve"> 2. "Қазақстан Республикасы Қорғаныс министрлігінің мамандандырылған ұйымдарынан шығарылған әскери-техникалық және өзге де мамандардың саны, бар кемшіліктер және оларды жою бойынша қабылданатын шаралар" нысаналы индикаторлары мен нәтиже көрсеткішін есептеу алгоритмі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мен нәтиже көрсеткішін айқындау (ұғымдық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әскери-техникалық мектептер филиалынан шығарылған (оқып шыққан) әскери-техникалық және өзге де мамандар санының өсу серпінін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мен нәтиже көрсеткіші бойынша жедел, алдын ала және есептік деректер жасау кезеңділігі мен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бір жылда 2 рет көктемгі және күзгі шақыру кезеңі аяқталғаннан кейін жасалады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жүйеге және нысаналы индикатор мен нәтиже көрсеткіші бойынша (болса) есептік деректерді орналастыру орнына сілтеме көрсетілген (веб-сайтқа және ақпараттық жүйеге сілтеме көрсетілген) ақпарат көзі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министрлігінің мамандандырылған ұйымдарында əскери-техникалық жəне өзге де мамандықтар бойынша əскерге шақырылушыларды, əскери міндеттілерді жинау, оларды жіберу жəне өтеусіз жəне өтеулі негіздерде оқыту, оқу-тəрбие процесін ұйымдастыру қағидаларын, сондай-ақ оқу мерзімдерін бекіту туралы" Қазақстан Республикасы Қорғаныс министрінің 2017 жылғы 17 шілдедегі № 357 бұйрығына өзгерістер енгізу туралы" Қазақстан Республикасы Қорғаныс министрінің </w:t>
            </w:r>
            <w:r>
              <w:rPr>
                <w:rFonts w:ascii="Times New Roman"/>
                <w:b w:val="false"/>
                <w:i w:val="false"/>
                <w:color w:val="000000"/>
                <w:sz w:val="20"/>
              </w:rPr>
              <w:t>бұйрығы.</w:t>
            </w:r>
          </w:p>
          <w:p>
            <w:pPr>
              <w:spacing w:after="20"/>
              <w:ind w:left="20"/>
              <w:jc w:val="both"/>
            </w:pPr>
            <w:r>
              <w:rPr>
                <w:rFonts w:ascii="Times New Roman"/>
                <w:b w:val="false"/>
                <w:i w:val="false"/>
                <w:color w:val="000000"/>
                <w:sz w:val="20"/>
              </w:rPr>
              <w:t>
 Орналасқан жері: Қорғаныс министрлігінің ресми интернет-ресурсы https://www.gov.kz/memleket/entities/mod?lang=ru&amp;ysclid=lte2an3p6p688920140 ("Әскери-патриоттық тәрбие беру" бөлімінде)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көрсетіп есептеудің егжей-тегжейлі және айқын бірізділігі көрсетілген нысаналы индикатор мен нәтиже көрсеткішінің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мен нәтиже көрсеткішін есептеу мынадай формула бойынша жүргізіледі: </w:t>
            </w:r>
          </w:p>
          <w:p>
            <w:pPr>
              <w:spacing w:after="20"/>
              <w:ind w:left="20"/>
              <w:jc w:val="both"/>
            </w:pPr>
            <w:r>
              <w:rPr>
                <w:rFonts w:ascii="Times New Roman"/>
                <w:b w:val="false"/>
                <w:i w:val="false"/>
                <w:color w:val="000000"/>
                <w:sz w:val="20"/>
              </w:rPr>
              <w:t>
шӘТМ= В1+В2+В3+В4……….В8*100% онда: қажетС</w:t>
            </w:r>
          </w:p>
          <w:p>
            <w:pPr>
              <w:spacing w:after="20"/>
              <w:ind w:left="20"/>
              <w:jc w:val="both"/>
            </w:pPr>
            <w:r>
              <w:rPr>
                <w:rFonts w:ascii="Times New Roman"/>
                <w:b w:val="false"/>
                <w:i w:val="false"/>
                <w:color w:val="000000"/>
                <w:sz w:val="20"/>
              </w:rPr>
              <w:t>
шӘТМ – Қорғаныс министрлігінің мамандандырылған ұйымдарынан шығарылған әскери-техникалық және өзге де мамандар;</w:t>
            </w:r>
          </w:p>
          <w:p>
            <w:pPr>
              <w:spacing w:after="20"/>
              <w:ind w:left="20"/>
              <w:jc w:val="both"/>
            </w:pPr>
            <w:r>
              <w:rPr>
                <w:rFonts w:ascii="Times New Roman"/>
                <w:b w:val="false"/>
                <w:i w:val="false"/>
                <w:color w:val="000000"/>
                <w:sz w:val="20"/>
              </w:rPr>
              <w:t>
қажетС – оқытылатын әскери-техникалық мамандардың жоспарланған қажетті саны;</w:t>
            </w:r>
          </w:p>
          <w:p>
            <w:pPr>
              <w:spacing w:after="20"/>
              <w:ind w:left="20"/>
              <w:jc w:val="both"/>
            </w:pPr>
            <w:r>
              <w:rPr>
                <w:rFonts w:ascii="Times New Roman"/>
                <w:b w:val="false"/>
                <w:i w:val="false"/>
                <w:color w:val="000000"/>
                <w:sz w:val="20"/>
              </w:rPr>
              <w:t>
В1 - ӘТМ Алматы филиалы;</w:t>
            </w:r>
          </w:p>
          <w:p>
            <w:pPr>
              <w:spacing w:after="20"/>
              <w:ind w:left="20"/>
              <w:jc w:val="both"/>
            </w:pPr>
            <w:r>
              <w:rPr>
                <w:rFonts w:ascii="Times New Roman"/>
                <w:b w:val="false"/>
                <w:i w:val="false"/>
                <w:color w:val="000000"/>
                <w:sz w:val="20"/>
              </w:rPr>
              <w:t>
В2 - ӘТМ Қарағанды филиалы;</w:t>
            </w:r>
          </w:p>
          <w:p>
            <w:pPr>
              <w:spacing w:after="20"/>
              <w:ind w:left="20"/>
              <w:jc w:val="both"/>
            </w:pPr>
            <w:r>
              <w:rPr>
                <w:rFonts w:ascii="Times New Roman"/>
                <w:b w:val="false"/>
                <w:i w:val="false"/>
                <w:color w:val="000000"/>
                <w:sz w:val="20"/>
              </w:rPr>
              <w:t>
В3 - ӘТМ Павлодар филиалы;</w:t>
            </w:r>
          </w:p>
          <w:p>
            <w:pPr>
              <w:spacing w:after="20"/>
              <w:ind w:left="20"/>
              <w:jc w:val="both"/>
            </w:pPr>
            <w:r>
              <w:rPr>
                <w:rFonts w:ascii="Times New Roman"/>
                <w:b w:val="false"/>
                <w:i w:val="false"/>
                <w:color w:val="000000"/>
                <w:sz w:val="20"/>
              </w:rPr>
              <w:t>
В4 - ӘТМ Талдықорған филиалы;</w:t>
            </w:r>
          </w:p>
          <w:p>
            <w:pPr>
              <w:spacing w:after="20"/>
              <w:ind w:left="20"/>
              <w:jc w:val="both"/>
            </w:pPr>
            <w:r>
              <w:rPr>
                <w:rFonts w:ascii="Times New Roman"/>
                <w:b w:val="false"/>
                <w:i w:val="false"/>
                <w:color w:val="000000"/>
                <w:sz w:val="20"/>
              </w:rPr>
              <w:t>
В5 - ӘТМ Тараз филиалы;</w:t>
            </w:r>
          </w:p>
          <w:p>
            <w:pPr>
              <w:spacing w:after="20"/>
              <w:ind w:left="20"/>
              <w:jc w:val="both"/>
            </w:pPr>
            <w:r>
              <w:rPr>
                <w:rFonts w:ascii="Times New Roman"/>
                <w:b w:val="false"/>
                <w:i w:val="false"/>
                <w:color w:val="000000"/>
                <w:sz w:val="20"/>
              </w:rPr>
              <w:t>
В6 - ӘТМ Орал филиалы;</w:t>
            </w:r>
          </w:p>
          <w:p>
            <w:pPr>
              <w:spacing w:after="20"/>
              <w:ind w:left="20"/>
              <w:jc w:val="both"/>
            </w:pPr>
            <w:r>
              <w:rPr>
                <w:rFonts w:ascii="Times New Roman"/>
                <w:b w:val="false"/>
                <w:i w:val="false"/>
                <w:color w:val="000000"/>
                <w:sz w:val="20"/>
              </w:rPr>
              <w:t>
В7 - ӘТМ Өскемен филиалы;</w:t>
            </w:r>
          </w:p>
          <w:p>
            <w:pPr>
              <w:spacing w:after="20"/>
              <w:ind w:left="20"/>
              <w:jc w:val="both"/>
            </w:pPr>
            <w:r>
              <w:rPr>
                <w:rFonts w:ascii="Times New Roman"/>
                <w:b w:val="false"/>
                <w:i w:val="false"/>
                <w:color w:val="000000"/>
                <w:sz w:val="20"/>
              </w:rPr>
              <w:t>
В8 - ӘТМ Шымкент филиалы.</w:t>
            </w:r>
          </w:p>
          <w:p>
            <w:pPr>
              <w:spacing w:after="20"/>
              <w:ind w:left="20"/>
              <w:jc w:val="both"/>
            </w:pPr>
            <w:r>
              <w:rPr>
                <w:rFonts w:ascii="Times New Roman"/>
                <w:b w:val="false"/>
                <w:i w:val="false"/>
                <w:color w:val="000000"/>
                <w:sz w:val="20"/>
              </w:rPr>
              <w:t>
Өлшем бірлігі: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(қажет болса облыстық/аудандық/қалалық деңгейде көрсетілсін)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мен нәтиже көрсеткішіне қол жеткізуде әрбір бірге орындайтын мемлекеттік органның қосқан үлесін айқындап, каскадтау немесе декомпозициялау арқылы жоғары тұрған МЖЖ құжаттарының көрсеткішімен өзара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