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c930" w14:textId="e08c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2024 жылғы 29 наурыздағы № 162/20-VIII шешімі. Күші жойылды - Астана қаласы мәслихатының 2024 жылғы 25 қыркүйектегі № 221/27-VIII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25.09.2024 </w:t>
      </w:r>
      <w:r>
        <w:rPr>
          <w:rFonts w:ascii="Times New Roman"/>
          <w:b w:val="false"/>
          <w:i w:val="false"/>
          <w:color w:val="ff0000"/>
          <w:sz w:val="28"/>
        </w:rPr>
        <w:t>№ 221/27-VIII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бейімделген емдік өнімдер, медициналық бұйымдар қосымша тегін берілсін.</w:t>
      </w:r>
    </w:p>
    <w:bookmarkEnd w:id="1"/>
    <w:bookmarkStart w:name="z3" w:id="2"/>
    <w:p>
      <w:pPr>
        <w:spacing w:after="0"/>
        <w:ind w:left="0"/>
        <w:jc w:val="both"/>
      </w:pPr>
      <w:r>
        <w:rPr>
          <w:rFonts w:ascii="Times New Roman"/>
          <w:b w:val="false"/>
          <w:i w:val="false"/>
          <w:color w:val="000000"/>
          <w:sz w:val="28"/>
        </w:rPr>
        <w:t xml:space="preserve">
      2.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Нұр-Сұлтан қаласы мәслихатының 2021 жылғы 16 шілдедегі № 66/9-VI шешіміне өзгеріс енгізу туралы" Астана қаласы мәслихатының 2023 жылғы 30 маусымдағы № 45/5-VIII </w:t>
      </w:r>
      <w:r>
        <w:rPr>
          <w:rFonts w:ascii="Times New Roman"/>
          <w:b w:val="false"/>
          <w:i w:val="false"/>
          <w:color w:val="000000"/>
          <w:sz w:val="28"/>
        </w:rPr>
        <w:t>шешімінің</w:t>
      </w:r>
      <w:r>
        <w:rPr>
          <w:rFonts w:ascii="Times New Roman"/>
          <w:b w:val="false"/>
          <w:i w:val="false"/>
          <w:color w:val="000000"/>
          <w:sz w:val="28"/>
        </w:rPr>
        <w:t xml:space="preserve"> жою туралы.</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162/20-VIII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қаласында тіркелген Қазақстан Республикасы азаматтарының жекелеген санаттарына амбулаториялық емдеу кезінде қосымша берілетін тегін медициналық көмектің кепілдендірілген көлемінің, оның ішінде дәрілік заттардың, мамандандырылған емдік өнімдердің, медициналық бұйымдардың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заттарды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i w:val="false"/>
                <w:color w:val="000000"/>
                <w:sz w:val="20"/>
              </w:rPr>
              <w:t xml:space="preserve"> (</w:t>
            </w:r>
            <w:r>
              <w:rPr>
                <w:rFonts w:ascii="Times New Roman"/>
                <w:b/>
                <w:i w:val="false"/>
                <w:color w:val="000000"/>
                <w:sz w:val="20"/>
              </w:rPr>
              <w:t>дәрежесі</w:t>
            </w:r>
            <w:r>
              <w:rPr>
                <w:rFonts w:ascii="Times New Roman"/>
                <w:b/>
                <w:i w:val="false"/>
                <w:color w:val="000000"/>
                <w:sz w:val="20"/>
              </w:rPr>
              <w:t xml:space="preserve">, </w:t>
            </w:r>
            <w:r>
              <w:rPr>
                <w:rFonts w:ascii="Times New Roman"/>
                <w:b/>
                <w:i w:val="false"/>
                <w:color w:val="000000"/>
                <w:sz w:val="20"/>
              </w:rPr>
              <w:t>сатысы</w:t>
            </w:r>
            <w:r>
              <w:rPr>
                <w:rFonts w:ascii="Times New Roman"/>
                <w:b/>
                <w:i w:val="false"/>
                <w:color w:val="000000"/>
                <w:sz w:val="20"/>
              </w:rPr>
              <w:t xml:space="preserve">, </w:t>
            </w:r>
            <w:r>
              <w:rPr>
                <w:rFonts w:ascii="Times New Roman"/>
                <w:b/>
                <w:i w:val="false"/>
                <w:color w:val="000000"/>
                <w:sz w:val="20"/>
              </w:rPr>
              <w:t>ағым</w:t>
            </w:r>
            <w:r>
              <w:rPr>
                <w:rFonts w:ascii="Times New Roman"/>
                <w:b w:val="false"/>
                <w:i w:val="false"/>
                <w:color w:val="000000"/>
                <w:sz w:val="20"/>
              </w:rPr>
              <w:t xml:space="preserve"> </w:t>
            </w:r>
            <w:r>
              <w:rPr>
                <w:rFonts w:ascii="Times New Roman"/>
                <w:b/>
                <w:i w:val="false"/>
                <w:color w:val="000000"/>
                <w:sz w:val="20"/>
              </w:rPr>
              <w:t>ауырлығы</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заттардың</w:t>
            </w:r>
            <w:r>
              <w:rPr>
                <w:rFonts w:ascii="Times New Roman"/>
                <w:b/>
                <w:i w:val="false"/>
                <w:color w:val="000000"/>
                <w:sz w:val="20"/>
              </w:rPr>
              <w:t xml:space="preserve">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емдік</w:t>
            </w:r>
            <w:r>
              <w:rPr>
                <w:rFonts w:ascii="Times New Roman"/>
                <w:b w:val="false"/>
                <w:i w:val="false"/>
                <w:color w:val="000000"/>
                <w:sz w:val="20"/>
              </w:rPr>
              <w:t xml:space="preserve"> </w:t>
            </w:r>
            <w:r>
              <w:rPr>
                <w:rFonts w:ascii="Times New Roman"/>
                <w:b/>
                <w:i w:val="false"/>
                <w:color w:val="000000"/>
                <w:sz w:val="20"/>
              </w:rPr>
              <w:t>өнімдердің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кепілдендірілген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 кезіндегі басқа екіншілікті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медуллярлық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Шорбуындаушы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p>
            <w:pPr>
              <w:spacing w:after="20"/>
              <w:ind w:left="20"/>
              <w:jc w:val="both"/>
            </w:pPr>
            <w:r>
              <w:rPr>
                <w:rFonts w:ascii="Times New Roman"/>
                <w:b w:val="false"/>
                <w:i w:val="false"/>
                <w:color w:val="000000"/>
                <w:sz w:val="20"/>
              </w:rPr>
              <w:t>
инъекцияға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инъекция дайындау үшін ерітінді жасауға арналған концентрат,</w:t>
            </w:r>
          </w:p>
          <w:p>
            <w:pPr>
              <w:spacing w:after="20"/>
              <w:ind w:left="20"/>
              <w:jc w:val="both"/>
            </w:pPr>
            <w:r>
              <w:rPr>
                <w:rFonts w:ascii="Times New Roman"/>
                <w:b w:val="false"/>
                <w:i w:val="false"/>
                <w:color w:val="000000"/>
                <w:sz w:val="20"/>
              </w:rPr>
              <w:t>
тері астына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 таблетка, суспензия,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 сыртқа қолдануға арналған спрей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бронхоөкпелік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 дейінгі салмақпен өте шала туған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инъекция дайындауға арналған ерітінді,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 (Салметерол және Флутиказон), ингаляцияларға арналған аэрозоль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(Телмисартан)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 (Телмисартан және Гидрохлортиазид)</w:t>
            </w:r>
          </w:p>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Криопиринмен байланысты мерзімді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инфузияға арналған ерітінді дайындауға арналған лиофилизат,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C гепатиті, бауыр циррозы сатысын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 T3N0M0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w:t>
            </w:r>
          </w:p>
          <w:p>
            <w:pPr>
              <w:spacing w:after="20"/>
              <w:ind w:left="20"/>
              <w:jc w:val="both"/>
            </w:pPr>
            <w:r>
              <w:rPr>
                <w:rFonts w:ascii="Times New Roman"/>
                <w:b w:val="false"/>
                <w:i w:val="false"/>
                <w:color w:val="000000"/>
                <w:sz w:val="20"/>
              </w:rPr>
              <w:t>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(Декспантенол), сыртқы қолдануға арналған крем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лейкоз, М3 жасушаларының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атопиялық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Дупилумаб,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шәрбат, тамшы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иммундық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 өткізуге қарсы көрсетілімдер-дің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спектрдің невромиелит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фазада</w:t>
            </w:r>
          </w:p>
          <w:p>
            <w:pPr>
              <w:spacing w:after="20"/>
              <w:ind w:left="20"/>
              <w:jc w:val="both"/>
            </w:pPr>
            <w:r>
              <w:rPr>
                <w:rFonts w:ascii="Times New Roman"/>
                <w:b w:val="false"/>
                <w:i w:val="false"/>
                <w:color w:val="000000"/>
                <w:sz w:val="20"/>
              </w:rPr>
              <w:t>
дәстүрлі терапияға толық емес жауаппен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 тері астына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Құрысқан мойынқисаюы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инъекцияға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 инфузия үшін концентрат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ангионеврологиялық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С1-эстераза ингибиторы,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демиелинациялаушы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жиынтығында еріткіші бар инъекцияға арналған ерітінді дайындауға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Поналидомид,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инфузияға арналған ерітінді дайындауға арналған концентрат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қыртысының туа біткен дисфункциясы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фазалары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Флудрокартизон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тері астына енгізуге арналған ерітінді/ инъекция дайындауға арналған ерітінді лиофилденген,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 (Виллебранд факторымен қан ұюының VIII факторы), инфузияға арналған ерітіндіге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 (Месалазин),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диализдегі паратгормо-нының жоғары деңгейі бар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 үлбірлі қабықпен қапталған таблетка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кепілдендірілген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қағал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гастростоманы интродукциялауға арналған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типті шприц</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дәрілік затсыз таңғыштар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жақпа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w:t>
            </w:r>
          </w:p>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қорғауға және бекітуге арналған серпімді қолғаптар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 жақпа,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имплантация-лау, жасанды жүрек пен жүректі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үлдірлі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w:t>
            </w:r>
          </w:p>
          <w:p>
            <w:pPr>
              <w:spacing w:after="20"/>
              <w:ind w:left="20"/>
              <w:jc w:val="both"/>
            </w:pPr>
            <w:r>
              <w:rPr>
                <w:rFonts w:ascii="Times New Roman"/>
                <w:b w:val="false"/>
                <w:i w:val="false"/>
                <w:color w:val="000000"/>
                <w:sz w:val="20"/>
              </w:rPr>
              <w:t>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әмбебап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қызанақ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кәмпиттер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тізбекті триглицеридтердің төмен қоспасы және орташа тізбекті триглициридтердің жоғары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церебральді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Псевдобульбар синдромы бар гастростома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 Энтеральді тамақтануға арналған қоспа</w:t>
            </w:r>
          </w:p>
        </w:tc>
      </w:tr>
    </w:tbl>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