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c295" w14:textId="710c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3 шілдедегі № 5/13-VIII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8 - бабы </w:t>
      </w:r>
      <w:r>
        <w:rPr>
          <w:rFonts w:ascii="Times New Roman"/>
          <w:b w:val="false"/>
          <w:i w:val="false"/>
          <w:color w:val="000000"/>
          <w:sz w:val="28"/>
        </w:rPr>
        <w:t>3 - тармағының</w:t>
      </w:r>
      <w:r>
        <w:rPr>
          <w:rFonts w:ascii="Times New Roman"/>
          <w:b w:val="false"/>
          <w:i w:val="false"/>
          <w:color w:val="000000"/>
          <w:sz w:val="28"/>
        </w:rPr>
        <w:t xml:space="preserve"> 7) тармақшасына,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16299) бекітілген "Б" корпусы мемлекеттік әкімшілік қызметшілерінің қызметін бағалаудың үлгілік әдістемесіне сәйкес Күршім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"03" шілдедегі </w:t>
            </w:r>
            <w:r>
              <w:br/>
            </w:r>
            <w:r>
              <w:rPr>
                <w:rFonts w:ascii="Times New Roman"/>
                <w:b w:val="false"/>
                <w:i w:val="false"/>
                <w:color w:val="000000"/>
                <w:sz w:val="20"/>
              </w:rPr>
              <w:t>№ 5/13-VIII шешіміне қосымша</w:t>
            </w:r>
          </w:p>
        </w:tc>
      </w:tr>
    </w:tbl>
    <w:bookmarkStart w:name="z10" w:id="3"/>
    <w:p>
      <w:pPr>
        <w:spacing w:after="0"/>
        <w:ind w:left="0"/>
        <w:jc w:val="left"/>
      </w:pPr>
      <w:r>
        <w:rPr>
          <w:rFonts w:ascii="Times New Roman"/>
          <w:b/>
          <w:i w:val="false"/>
          <w:color w:val="000000"/>
        </w:rPr>
        <w:t xml:space="preserve"> "Күршім аудандық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"Күршім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16299) бекітілген "Б" корпусы мемлекеттік әкімшілік қызметшілерінің қызметін бағалаудың үлгілік әдістемесі негізінде әзірленді, және "Күршім аудандық мәслихатының аппараты" мемлекеттік мекемесінің (бұдан әрі – аудандық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5"/>
    <w:bookmarkStart w:name="z13"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аудандық мәслихат аппараты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құрылымдық бөлімшенің/ аудандық мәслихат аппаратының басшысы –Е-2, Е-3 (құрылымдық бөлімшелердің басшылары) санаттарының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9" w:id="12"/>
    <w:p>
      <w:pPr>
        <w:spacing w:after="0"/>
        <w:ind w:left="0"/>
        <w:jc w:val="both"/>
      </w:pPr>
      <w:r>
        <w:rPr>
          <w:rFonts w:ascii="Times New Roman"/>
          <w:b w:val="false"/>
          <w:i w:val="false"/>
          <w:color w:val="000000"/>
          <w:sz w:val="28"/>
        </w:rPr>
        <w:t>
      6) бағаланатын адам – құрылымдық бөлімшенің/ аудандық мәслихат аппаратының басшысы немесе "Б" корпусының қызметшісі;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аудандық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6"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ұйымдастыру және кадр жұмысы бөлімі (бұдан әрі – ұйымдастыру және кадр жұмысы бөлімі),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ұйымдастыру және кадр жұмысы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Ұйымдастыру және кадр жұмысы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және кадр жұмысы бөлімінде,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ұйымдастыру және кадр жұмысы бөлімі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Ұйымдастыру және кадр жұмысы бөлімінің басшысы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және кадр жұмысы бөлімінің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Құрылымдық бөлімше/ аудандық мәслихат аппараты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ұйымдастыру және кадр жұмысы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аудандық мәслихат аппараты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және кадр жұмысы бөлімі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 және кадр жұмысы бөлімі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ұйымдастыру және кадр жұмысы бөлімі құрылымдық бөлімшенің/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ұйымдастыру және кадр жұмысы бөлімі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ұйымдастыру және кадр жұмысы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ұйымдастыру және кадр жұмысы бөлімімен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0"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Ұйымдастыру және кадр жұмысы бөлімі басшысы (мемлекеттік органның)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ұйымдастыру және кадр жұмысы бөлімінің басшысы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 және кадр жұмысы бөлімі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xml:space="preserve">
      36. Ұйымдастыру және кадр жұмысы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және кадр жұмысы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аудандық мәслихат аппараты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40. Ұйымдастыру және кадр жұмысы бөлімі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 және кадр жұмысы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