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8281" w14:textId="0698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2023 жылғы 27 сәуірдегі № 01-03/VIII-2-14/4 шешімі. Күші жойылды - Шығыс Қазақстан облысы Зайсан аудандық мәслихатының 2025 жылғы 28 қарашадағы № 43/4-VIII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28.11.2025 </w:t>
      </w:r>
      <w:r>
        <w:rPr>
          <w:rFonts w:ascii="Times New Roman"/>
          <w:b w:val="false"/>
          <w:i w:val="false"/>
          <w:color w:val="ff0000"/>
          <w:sz w:val="28"/>
        </w:rPr>
        <w:t>№ 43/4-VIII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 Зайсан аудандық мәслихатының 2022 жылғы 12 желтоқсандағы №26-2/4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xml:space="preserve">№01-03/VIII-2-14/4 </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"Зайсан аудандық мәслихаттың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"Зайсан аудандық мәслихаттың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"Зайсан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аудандық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"Зайсан аудандық мәслихаттың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Зайсан аудандық мәслихатының кадр мәселелерімен айналысатын маманы міндеттерін атқару жүктелген және аппарат басшысы (бұдан әрі – кадр мәселелерімен айналысатын аппарат маманы),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мәслихат төрағасы бекітетін қызметшілердің бағалау кестесін құрастырады.</w:t>
      </w:r>
    </w:p>
    <w:bookmarkEnd w:id="33"/>
    <w:bookmarkStart w:name="z41" w:id="34"/>
    <w:p>
      <w:pPr>
        <w:spacing w:after="0"/>
        <w:ind w:left="0"/>
        <w:jc w:val="both"/>
      </w:pPr>
      <w:r>
        <w:rPr>
          <w:rFonts w:ascii="Times New Roman"/>
          <w:b w:val="false"/>
          <w:i w:val="false"/>
          <w:color w:val="000000"/>
          <w:sz w:val="28"/>
        </w:rPr>
        <w:t>
      11. Кадр мәселелерімен айналысатын аппарат маманы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мәселелерімен айналысатын аппарат маманында,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Кадр мәселелерімен айналысатын маманы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кадр мәселелерімен айналысатын маманғажәне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кадр мәселелерімен айналысатын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маман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кадр мәселелерімен айналысатын аппарат маманыаппарат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кадр мәселелерімен айналысатын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кадр мәселелерімен айналысатын маманымен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мәселелерімен айналысатын маманы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Кадр мәселелерімен айналысатын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мәселелерімен айналысатын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1"/>
    <w:bookmarkStart w:name="z129"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Кадр мәселелерімен айналысатын маманы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