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df72" w14:textId="822d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2022 жылғы 28 желтоқсандағы № 186 "2023-2025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28 қарашадағы № 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ауылдық округтердің бюджеттері туралы " Сауран аудандық мәслихатының 2022 жылғы 28 желтоқсандағы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Бабайқорған ауылдық округінің 2023-2025 жылдарға арналған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Ескі Иқан ауылдық округінің 2023-2025 жылдарға арналған бюджеті тиісінше 4, 5 және 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7 101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Жаңа Иқан ауылдық округінің 2023-2025 жылдарға арналған бюджеті тиісінше 7, 8 және 9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Жібек Жолы ауылдық округінің 2023-2025 жылдарға арналған бюджеті тиісінше 10, 11 және 12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Жүйнек ауылдық округінің 2023-2025 жылдарға арналған бюджеті тиісінше 13, 14 және 15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121 065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Иассы ауылдық округінің 2023-2025 жылдарға арналған бюджеті тиісінше 16, 17 және 18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91 727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13 467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13 467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Қарашық ауылдық округінің 2023-2025 жылдарға арналған бюджеті тиісінше 19, 20 және 21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144 173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Майдантал ауылдық округінің 2023-2025 жылдарға арналған бюджеті тиісінше 22, 23 және 24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94 686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Оранғай ауылдық округінің 2023-2025 жылдарға арналған бюджеті тиісінше 25, 26 және 27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14 922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14 922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Үшқайық ауылдық округінің 2023-2025 жылдарға арналған бюджеті тиісінше 28, 29 және 30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92 750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Шаға ауылдық округінің 2023-2025 жылдарға арналған бюджеті тиісінше 31, 32 және 33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122 623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10 499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10 499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Шорнақ ауылдық округінің 2023-2025 жылдарға арналған бюджеті тиісінше 34, 35 және 36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119 434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71 682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14 301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14 301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