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7b0b" w14:textId="7f5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28 желтоқсандағы № 186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30 мамырдағы № 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 " Сауран аудандық мәслихатының 2022 жылғы 28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2023-2025 жылдарға арналған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131 895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2023-2025 жылдарға арналған бюджеті тиісінше 4, 5 және 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34 871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2023-2025 жылдарға арналған бюджеті тиісінше 7, 8 және 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2023-2025 жылдарға арналған бюджеті тиісінше 10, 11 және 12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2023-2025 жылдарға арналған бюджеті тиісінше 13, 14 және 15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2023-2025 жылдарға арналған бюджеті тиісінше 16, 17 және 18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13 467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2023-2025 жылдарға арналған бюджеті тиісінше 19, 20 және 21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2023-2025 жылдарға арналған бюджеті тиісінше 22, 23 және 24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2023-2025 жылдарға арналған бюджеті тиісінше 25, 26 және 27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14 922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Үшқайық ауылдық округінің 2023-2025 жылдарға арналған бюджеті тиісінше 28, 29 және 30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2023-2025 жылдарға арналған бюджеті тиісінше 31, 32 және 33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10 499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2023-2025 жылдарға арналған бюджеті тиісінше 34, 35 және 36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14 301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мамырдағы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