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759d" w14:textId="369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Келес ауданы әкімдігінің 2023 жылғы 21 тамыздағы № 163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163 қаулысымен бекітілген</w:t>
            </w:r>
          </w:p>
        </w:tc>
      </w:tr>
    </w:tbl>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w:t>
      </w:r>
    </w:p>
    <w:p>
      <w:pPr>
        <w:spacing w:after="0"/>
        <w:ind w:left="0"/>
        <w:jc w:val="both"/>
      </w:pPr>
      <w:r>
        <w:rPr>
          <w:rFonts w:ascii="Times New Roman"/>
          <w:b w:val="false"/>
          <w:i w:val="false"/>
          <w:color w:val="ff0000"/>
          <w:sz w:val="28"/>
        </w:rPr>
        <w:t xml:space="preserve">
      Ескерту. Қаулының қосымшасы жаңа редакцияда - Түркістан облысы Келес ауданы әкімдігінің 10.09.2025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Келес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"Келес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w:t>
      </w:r>
    </w:p>
    <w:p>
      <w:pPr>
        <w:spacing w:after="0"/>
        <w:ind w:left="0"/>
        <w:jc w:val="both"/>
      </w:pPr>
      <w:r>
        <w:rPr>
          <w:rFonts w:ascii="Times New Roman"/>
          <w:b w:val="false"/>
          <w:i w:val="false"/>
          <w:color w:val="000000"/>
          <w:sz w:val="28"/>
        </w:rPr>
        <w:t xml:space="preserve">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