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7e6d" w14:textId="55e7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Жетісай аудандық мәслихатының 2022 жылғы 30 желтоқсандағы № 29-190-VІI "2023-2025 жылдарға арналған қала,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Жетісай аудандық мәслихатының 2023 жылғы 1 маусымдағы № 4-23-VIII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Жетісай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қала, кент және ауылдық округтердің бюджеті туралы" Жетісай аудандық мәслихатының 2022 жылғы 30 желтоқсандағы № 29-190-VIІ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Жетісай қаласының 2023-2025 жылдарға арналған бюджеті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376 265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330 543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45 722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409 534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33 269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33 269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Жаңа ауыл ауылдық округінің 2023-2025 жылдарға арналған бюджеті 4, 5 және 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90 333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49 791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2 146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Жылы су ауылдық округінің 2023-2025 жылдарға арналған бюджеті 7, 8 және 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67 463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48 511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68 415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Қазыбек би ауылдық округінің 2023-2025 жылдарға арналған бюджеті 10, 11 және 12-қосымшаларға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125 429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85 387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128 367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2 938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Қарақай ауылдық округінің 2023-2025 жылдарға арналған бюджеті 13, 14 және 15-қосымшаларға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62 740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42 972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Асықата кентінің 2023-2025 жылдарға арналған бюджеті 16, 17 және 18-қосымшаларға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137 168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82 048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51 700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5 142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Абай ауылдық округінің 2023-2025 жылдарға арналған бюджеті 19, 20 және 21-қосымшаларға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56 027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19 067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35 755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Атамекен ауылдық округінің 2023-2025 жылдарға арналған бюджеті 22, 23 және 24-қосымшаларға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11 976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41 543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59 283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Ш.Ділдабеков ауылдық округінің 2023-2025 жылдарға арналған бюджеті 25, 26 және 27-қосымшаларға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63 827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34 022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2 310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Ж.Ералиев ауылдық округінің 2023-2025 жылдарға арналған бюджеті 28, 29 және 30-қосымшаларға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87 498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2 690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Қызылқұм ауылдық округінің 2023-2025 жылдарға арналған бюджеті 31, 32 және 33-қосымшаларға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64 163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16 474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41 318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Мақталы ауылдық округінің 2023-2025 жылдарға арналған бюджеті 34, 35 және 36-қосымшаларға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57 522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714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Ынтымақ ауылдық округінің 2023-2025 жылдарға арналған бюджеті 37, 38 және 39-қосымшаларға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83 731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57 100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85 312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1 581 мың теңге.".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Жетісай қаласының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 ауыл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Жылы су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Қазыбек би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Асықата кентінің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Атамекен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Ш.Ділдабеков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Ж.Ералиев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 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Мақталы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4-23-VIІI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Жетісай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29-190-VIІ 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Ынтымақ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