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0786" w14:textId="12b0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2022 жылғы 26 желтоқсандағы № 25-161-VІІ "2023-2025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12 қыркүйектегі № 8-44-VIII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"2023-2025 жылдарға арналған қала, ауылдық округтердің бюджеті туралы" 2022 жылғы 26 желтоқсандағы № 25-161-VII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2023-2025 жылдарға арналған бюджеті 1, 2 және 3-қосымшаларға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2023-2025 жылдарға арналған бюджеті 1, 2 және 3-қосымшаларға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482 841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206 086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276 199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484 944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2 103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2023-2025 жылдарға арналған бюджеті 4, 5, 6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88 468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89 727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1 259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2023-2025 жылдарға арналған бюджеті 7, 8, 9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63 847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48 632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67 049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3 202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3 202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2023-2025 жылдарға арналған бюджеті 10, 11, 12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78 153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69 905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82 499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4 346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2023-2025 жылдарға арналған бюджеті 13, 14, 15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70 940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19 124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51 816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72 701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1 761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1 761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2023-2025 жылдарға арналған бюджеті 16, 17, 18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63 359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57 956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63 525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2023-2025 жылдарға арналған бюджеті 19, 20, 21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55 087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47 070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55 222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2023-2025 жылдарға арналған бюджеті 22, 23, 24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67 642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60 037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67 865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2023-2025 жылдарға арналған бюджеті 25, 26, 27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97 404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91 417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97 518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2023-2025 жылдарға арналған бюджеті 28, 29, 30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116 691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106 108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117 021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2023-2025 жылдарға арналған бюджеті 31, 32, 33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78 079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66 721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78 734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655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8-44-VIII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