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5138" w14:textId="d925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Түлкібас ауданы әкімдігінің 2023 жылғы 27 наурыздағы № 65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әдістемесін бекіту туралы" Түлкібас ауданы әкімдігінің 2022 жылғы 2 маусымдағы № 140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Н.Байғұт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2023 жылғы 27 наурыздағы</w:t>
            </w:r>
            <w:r>
              <w:br/>
            </w:r>
            <w:r>
              <w:rPr>
                <w:rFonts w:ascii="Times New Roman"/>
                <w:b w:val="false"/>
                <w:i w:val="false"/>
                <w:color w:val="000000"/>
                <w:sz w:val="20"/>
              </w:rPr>
              <w:t>№ 65 қаулысымен бекітілген</w:t>
            </w:r>
          </w:p>
        </w:tc>
      </w:tr>
    </w:tbl>
    <w:bookmarkStart w:name="z7" w:id="5"/>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Түлкібас ауданы әкімі аппараты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Түлкібас ауданы әкімдігінің 10.10.2025 </w:t>
      </w:r>
      <w:r>
        <w:rPr>
          <w:rFonts w:ascii="Times New Roman"/>
          <w:b w:val="false"/>
          <w:i w:val="false"/>
          <w:color w:val="ff0000"/>
          <w:sz w:val="28"/>
        </w:rPr>
        <w:t>№ 240</w:t>
      </w:r>
      <w:r>
        <w:rPr>
          <w:rFonts w:ascii="Times New Roman"/>
          <w:b w:val="false"/>
          <w:i w:val="false"/>
          <w:color w:val="ff0000"/>
          <w:sz w:val="28"/>
        </w:rPr>
        <w:t xml:space="preserve"> (алғашқы ресми жарияланған күннен бастап қолданысқа енгізіледі) қаулысымен.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57"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7"/>
    <w:p>
      <w:pPr>
        <w:spacing w:after="0"/>
        <w:ind w:left="0"/>
        <w:jc w:val="both"/>
      </w:pPr>
      <w:r>
        <w:rPr>
          <w:rFonts w:ascii="Times New Roman"/>
          <w:b w:val="false"/>
          <w:i w:val="false"/>
          <w:color w:val="000000"/>
          <w:sz w:val="28"/>
        </w:rPr>
        <w:t xml:space="preserve">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w:t>
      </w:r>
      <w:r>
        <w:rPr>
          <w:rFonts w:ascii="Times New Roman"/>
          <w:b w:val="false"/>
          <w:i w:val="false"/>
          <w:color w:val="000000"/>
          <w:sz w:val="28"/>
        </w:rPr>
        <w:t>Әдістеменің</w:t>
      </w:r>
      <w:r>
        <w:rPr>
          <w:rFonts w:ascii="Times New Roman"/>
          <w:b w:val="false"/>
          <w:i w:val="false"/>
          <w:color w:val="000000"/>
          <w:sz w:val="28"/>
        </w:rPr>
        <w:t xml:space="preserve">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p>
      <w:pPr>
        <w:spacing w:after="0"/>
        <w:ind w:left="0"/>
        <w:jc w:val="both"/>
      </w:pPr>
      <w:r>
        <w:rPr>
          <w:rFonts w:ascii="Times New Roman"/>
          <w:b w:val="false"/>
          <w:i w:val="false"/>
          <w:color w:val="000000"/>
          <w:sz w:val="28"/>
        </w:rPr>
        <w:t xml:space="preserve">
      3. Осы Үлгілік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xml:space="preserve">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xml:space="preserve">
      13. Бағалаумен байланысты құжаттар бағалау аяқталған күннен бастап үш жыл ішінде персоналды басқару қызметінде және ақпараттық жүйеде сақталады. </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xml:space="preserve">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 </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Түлкібас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w:t>
      </w:r>
    </w:p>
    <w:p>
      <w:pPr>
        <w:spacing w:after="0"/>
        <w:ind w:left="0"/>
        <w:jc w:val="both"/>
      </w:pPr>
      <w:r>
        <w:rPr>
          <w:rFonts w:ascii="Times New Roman"/>
          <w:b w:val="false"/>
          <w:i w:val="false"/>
          <w:color w:val="000000"/>
          <w:sz w:val="28"/>
        </w:rPr>
        <w:t>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Түлкібас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____________________________ </w:t>
      </w:r>
    </w:p>
    <w:p>
      <w:pPr>
        <w:spacing w:after="0"/>
        <w:ind w:left="0"/>
        <w:jc w:val="both"/>
      </w:pPr>
      <w:r>
        <w:rPr>
          <w:rFonts w:ascii="Times New Roman"/>
          <w:b w:val="false"/>
          <w:i w:val="false"/>
          <w:color w:val="000000"/>
          <w:sz w:val="28"/>
        </w:rPr>
        <w:t xml:space="preserve">
      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Осылайша, Сіз </w:t>
      </w:r>
    </w:p>
    <w:p>
      <w:pPr>
        <w:spacing w:after="0"/>
        <w:ind w:left="0"/>
        <w:jc w:val="both"/>
      </w:pPr>
      <w:r>
        <w:rPr>
          <w:rFonts w:ascii="Times New Roman"/>
          <w:b w:val="false"/>
          <w:i w:val="false"/>
          <w:color w:val="000000"/>
          <w:sz w:val="28"/>
        </w:rPr>
        <w:t>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 xml:space="preserve">функционалдық міндеттерін тиісті түрде атқарады, функционалдық міндеттерін </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Түлкібас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w:t>
      </w:r>
    </w:p>
    <w:p>
      <w:pPr>
        <w:spacing w:after="0"/>
        <w:ind w:left="0"/>
        <w:jc w:val="both"/>
      </w:pPr>
      <w:r>
        <w:rPr>
          <w:rFonts w:ascii="Times New Roman"/>
          <w:b w:val="false"/>
          <w:i w:val="false"/>
          <w:color w:val="000000"/>
          <w:sz w:val="28"/>
        </w:rPr>
        <w:t xml:space="preserve"> (бұдан әрі – бағалау) мақсатында Сіздерге өз әріптестеріңізді 360 әдісімен бағалауды</w:t>
      </w:r>
    </w:p>
    <w:p>
      <w:pPr>
        <w:spacing w:after="0"/>
        <w:ind w:left="0"/>
        <w:jc w:val="both"/>
      </w:pPr>
      <w:r>
        <w:rPr>
          <w:rFonts w:ascii="Times New Roman"/>
          <w:b w:val="false"/>
          <w:i w:val="false"/>
          <w:color w:val="000000"/>
          <w:sz w:val="28"/>
        </w:rPr>
        <w:t xml:space="preserve"> ұсынамыз.</w:t>
      </w:r>
    </w:p>
    <w:p>
      <w:pPr>
        <w:spacing w:after="0"/>
        <w:ind w:left="0"/>
        <w:jc w:val="both"/>
      </w:pPr>
      <w:r>
        <w:rPr>
          <w:rFonts w:ascii="Times New Roman"/>
          <w:b w:val="false"/>
          <w:i w:val="false"/>
          <w:color w:val="000000"/>
          <w:sz w:val="28"/>
        </w:rPr>
        <w:t xml:space="preserve">
      Ескертпе: 360 әдісі - бағаланатын адамның жұмыс ортасындағы адамдар тобынан </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w:t>
      </w:r>
    </w:p>
    <w:p>
      <w:pPr>
        <w:spacing w:after="0"/>
        <w:ind w:left="0"/>
        <w:jc w:val="both"/>
      </w:pPr>
      <w:r>
        <w:rPr>
          <w:rFonts w:ascii="Times New Roman"/>
          <w:b w:val="false"/>
          <w:i w:val="false"/>
          <w:color w:val="000000"/>
          <w:sz w:val="28"/>
        </w:rPr>
        <w:t>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құзырет көрінбейді;</w:t>
      </w:r>
    </w:p>
    <w:p>
      <w:pPr>
        <w:spacing w:after="0"/>
        <w:ind w:left="0"/>
        <w:jc w:val="both"/>
      </w:pPr>
      <w:r>
        <w:rPr>
          <w:rFonts w:ascii="Times New Roman"/>
          <w:b w:val="false"/>
          <w:i w:val="false"/>
          <w:color w:val="000000"/>
          <w:sz w:val="28"/>
        </w:rPr>
        <w:t>құзырет сирек көрінеді;</w:t>
      </w:r>
    </w:p>
    <w:p>
      <w:pPr>
        <w:spacing w:after="0"/>
        <w:ind w:left="0"/>
        <w:jc w:val="both"/>
      </w:pPr>
      <w:r>
        <w:rPr>
          <w:rFonts w:ascii="Times New Roman"/>
          <w:b w:val="false"/>
          <w:i w:val="false"/>
          <w:color w:val="000000"/>
          <w:sz w:val="28"/>
        </w:rPr>
        <w:t>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w:t>
      </w:r>
    </w:p>
    <w:p>
      <w:pPr>
        <w:spacing w:after="0"/>
        <w:ind w:left="0"/>
        <w:jc w:val="both"/>
      </w:pPr>
      <w:r>
        <w:rPr>
          <w:rFonts w:ascii="Times New Roman"/>
          <w:b w:val="false"/>
          <w:i w:val="false"/>
          <w:color w:val="000000"/>
          <w:sz w:val="28"/>
        </w:rPr>
        <w:t>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Түлкібас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 корпусы қызметшілерін 360 әдісімен бағалау парағы</w:t>
      </w:r>
    </w:p>
    <w:p>
      <w:pPr>
        <w:spacing w:after="0"/>
        <w:ind w:left="0"/>
        <w:jc w:val="both"/>
      </w:pPr>
      <w:r>
        <w:rPr>
          <w:rFonts w:ascii="Times New Roman"/>
          <w:b w:val="false"/>
          <w:i w:val="false"/>
          <w:color w:val="000000"/>
          <w:sz w:val="28"/>
        </w:rPr>
        <w:t>Бағаланатын қызметкердің Т.А.Ә ______________________________</w:t>
      </w:r>
    </w:p>
    <w:p>
      <w:pPr>
        <w:spacing w:after="0"/>
        <w:ind w:left="0"/>
        <w:jc w:val="both"/>
      </w:pPr>
      <w:r>
        <w:rPr>
          <w:rFonts w:ascii="Times New Roman"/>
          <w:b w:val="false"/>
          <w:i w:val="false"/>
          <w:color w:val="000000"/>
          <w:sz w:val="28"/>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w:t>
      </w:r>
    </w:p>
    <w:p>
      <w:pPr>
        <w:spacing w:after="0"/>
        <w:ind w:left="0"/>
        <w:jc w:val="both"/>
      </w:pPr>
      <w:r>
        <w:rPr>
          <w:rFonts w:ascii="Times New Roman"/>
          <w:b w:val="false"/>
          <w:i w:val="false"/>
          <w:color w:val="000000"/>
          <w:sz w:val="28"/>
        </w:rPr>
        <w:t>(бұдан әрі – бағалау) мақсатында Сіздерге өз әріптестеріңізді 360 әдісімен бағалауды</w:t>
      </w:r>
    </w:p>
    <w:p>
      <w:pPr>
        <w:spacing w:after="0"/>
        <w:ind w:left="0"/>
        <w:jc w:val="both"/>
      </w:pPr>
      <w:r>
        <w:rPr>
          <w:rFonts w:ascii="Times New Roman"/>
          <w:b w:val="false"/>
          <w:i w:val="false"/>
          <w:color w:val="000000"/>
          <w:sz w:val="28"/>
        </w:rPr>
        <w:t>ұсынамыз.</w:t>
      </w:r>
    </w:p>
    <w:p>
      <w:pPr>
        <w:spacing w:after="0"/>
        <w:ind w:left="0"/>
        <w:jc w:val="both"/>
      </w:pPr>
      <w:r>
        <w:rPr>
          <w:rFonts w:ascii="Times New Roman"/>
          <w:b w:val="false"/>
          <w:i w:val="false"/>
          <w:color w:val="000000"/>
          <w:sz w:val="28"/>
        </w:rPr>
        <w:t xml:space="preserve">
      Ескертпе: 360 әдісі - бағаланатын адамның жұмыс ортасындағы адамдар тобынан </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w:t>
      </w:r>
    </w:p>
    <w:p>
      <w:pPr>
        <w:spacing w:after="0"/>
        <w:ind w:left="0"/>
        <w:jc w:val="both"/>
      </w:pPr>
      <w:r>
        <w:rPr>
          <w:rFonts w:ascii="Times New Roman"/>
          <w:b w:val="false"/>
          <w:i w:val="false"/>
          <w:color w:val="000000"/>
          <w:sz w:val="28"/>
        </w:rPr>
        <w:t>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құзырет көрінбейді;</w:t>
      </w:r>
    </w:p>
    <w:p>
      <w:pPr>
        <w:spacing w:after="0"/>
        <w:ind w:left="0"/>
        <w:jc w:val="both"/>
      </w:pPr>
      <w:r>
        <w:rPr>
          <w:rFonts w:ascii="Times New Roman"/>
          <w:b w:val="false"/>
          <w:i w:val="false"/>
          <w:color w:val="000000"/>
          <w:sz w:val="28"/>
        </w:rPr>
        <w:t>құзырет сирек көрінеді;</w:t>
      </w:r>
    </w:p>
    <w:p>
      <w:pPr>
        <w:spacing w:after="0"/>
        <w:ind w:left="0"/>
        <w:jc w:val="both"/>
      </w:pPr>
      <w:r>
        <w:rPr>
          <w:rFonts w:ascii="Times New Roman"/>
          <w:b w:val="false"/>
          <w:i w:val="false"/>
          <w:color w:val="000000"/>
          <w:sz w:val="28"/>
        </w:rPr>
        <w:t>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w:t>
      </w:r>
    </w:p>
    <w:p>
      <w:pPr>
        <w:spacing w:after="0"/>
        <w:ind w:left="0"/>
        <w:jc w:val="both"/>
      </w:pPr>
      <w:r>
        <w:rPr>
          <w:rFonts w:ascii="Times New Roman"/>
          <w:b w:val="false"/>
          <w:i w:val="false"/>
          <w:color w:val="000000"/>
          <w:sz w:val="28"/>
        </w:rPr>
        <w:t>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Түлкібас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w:t>
      </w:r>
    </w:p>
    <w:p>
      <w:pPr>
        <w:spacing w:after="0"/>
        <w:ind w:left="0"/>
        <w:jc w:val="both"/>
      </w:pPr>
      <w:r>
        <w:rPr>
          <w:rFonts w:ascii="Times New Roman"/>
          <w:b w:val="false"/>
          <w:i w:val="false"/>
          <w:color w:val="000000"/>
          <w:sz w:val="28"/>
        </w:rPr>
        <w:t>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Түлкібас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