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531e" w14:textId="c035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2022 жылғы 28 желтоқсандағы № 159 "2023-2025 жылдарға арналған ауылдық округтер және кенттер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2023 жылғы 24 мамырдағы № 22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2022 жылғы 28 желтоқсандағы № 159 "2023-2025 жылдарға арналған ауылдық округтер және кенттер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Жартытөбе ауылдық округінің 2023-2025 жылдарға арналған бюджеті 1 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101 002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88 497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1 469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Жуантөбе ауылдық округінің 2023-2025 жылдарға арналған бюджеті 4-қосымшаға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71 878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65 586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1 050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Қарақұр ауылдық округі 2023-2025 жылдарға арналған бюджеті 7-қосымшаға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78 934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9 710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68 534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3 249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3 249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Қаратау ауылдық округінің 2023-2025 жылдарға арналған бюджеті 10-қосымшаға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70 507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44 260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26 247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6 551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6 551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Құмкент ауылдық округінің 2023-2025 жылдарға арналған бюджеті 13-қосымшаға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111 717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100 853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1 625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 Созақ ауылдық округінің 2023-2025 жылдарға арналған бюджеті 16-қосымшаға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102 794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27 873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71 549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5 152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5 152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Сызған ауылдық округінің 2023-2025 жылдарға арналған бюджеті 19-қосымшаға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98 512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84 092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Шолаққорған ауылдық округінің 2023-2025 жылдарға арналған бюджеті 22-қосымшаға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204 696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63 351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138 405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- 217 030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12 334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12 334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 Шу ауылдық округінің 2023-2025 жылдарға арналған бюджеті 25-қосымшаға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43 245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42 551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 Қыземшек кентінің 2023-2025 жылдарға арналған бюджеті 28-қосымшаға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–70 085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4 284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4 284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 Таукент кентінің 2023-2025 жылдарға арналған бюджеті 31-қосымшаға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111 532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43 136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67 196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2 892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2 892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 Тасты ауылдық округінің 2023-2025 жылдарға арналған бюджеті 34-қосымшаға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47 513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41 640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3 970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3 970 мың теңге.".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Жартытөбе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Қарақұр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Қаратау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Құмкент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Сызған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99 278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Шолаққорған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Қыземшек кентінің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Таукент кентінің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