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0749" w14:textId="d9d07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"2023-2025 жылдарға арналған ауылдық округтердің бюджеті туралы" 2022 жылғы 30 желтоқсандағы № 36/163-VIІ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2023 жылғы 16 қарашадағы № 8/49-VIII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Қазығұрт аудандық мәслихатының "2023-2025 жылдарға арналған ауылдық округтердің бюджеті туралы" 2022 жылғы 30 желтоқсандағы №36/163-VII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25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Қазығұрт ауылы округінің 2023-2025 жылдарға арналған бюджеті 1,2,3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148 055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147 895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155 838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-7 783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Сарапхана ауылдық округінің 2023-2025 жылдарға арналған бюджеті 4,5,6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53 665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39 031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2 764мың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Алтынтөбе ауылы округінің 2023-2025 жылдарға арналған бюджеті 7,8,9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101 852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95 235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6 617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Қарабау ауылы округінің 2023-2025 жылдарға арналған бюджеті 10,11,12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51 506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19 364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-3 672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Сабыр Рақымов ауылдық округінің 2023-2025 жылдарға арналған бюджеті 13,14,15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39 165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20 599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Қарақозы Абдалиев ауылдық округінің 2023-2025 жылдарға арналған бюджеті 16,17,18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70 173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42 077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28 096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Қызылқия ауылы округінің 2023-2025 жылдарға арналған бюджеті 19,20,21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60 600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Шанақ ауылы округінің 2023-2025 жылдарға арналған бюджеті 22,23,24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40 194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30 926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41 343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-1 149мың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1 149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Шарбұлақ ауылы округінің 2023-2025 жылдарға арналған бюджеті 25,26,27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41 482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14 402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Жаңабазар ауылы округінің 2023-2025 жылдарға арналған бюджеті 28,29,30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68 905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38 342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Тұрбат ауылы округінің 2023-2025 жылдарға арналған бюджеті 31,32,33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54 299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-2 535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2 535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Қақпақ ауылы округінің 2023-2025 жылдарға арналған бюджеті 34,35,36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57 140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23 668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33 472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-1 933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Жігерген ауылы округінің 2023-2025 жылдарға арналған бюджеті 37,38,39 қосымшаларға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41 322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29 169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766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Қазығұрт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Cарапхана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Алтынтөбе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Қарабау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Сабыр Рақымов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Қарақозы Әбдалиев ауылдық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Қызылқия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Шанақ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Шарбұлақ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Жаңабазар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Тұрбат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Қақпақ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қарашадағы № 8/49-VIIІ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№36/163-VІI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Жігерген ауылы округінің 2023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жалға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