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579b" w14:textId="83e5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"2023-2025 жылдарға арналған ауылдық округтердің бюджеті туралы" 2022 жылғы 30 желтоқсандағы № 36/163-VIІ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25 мамырдағы № 4/24-VIII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"2023-2025 жылдарға арналған ауылдық округтердің бюджеті туралы" 2022 жылғы 30 желтоқсандағы № 36/163-VII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2023-2025 жылдарға арналған бюджеті 1, 2,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118 508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118 348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-7 783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2023-2025 жылдарға арналған бюджеті 4, 5, 6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-2 764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2023-2025 жылдарға арналған бюджеті 7, 8, 9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48 398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-1 272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2023-2025 жылдарға арналған бюджеті 10, 11, 12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48 812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-3 672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2023-2025 жылдарға арналған бюджеті 13, 14, 15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2023-2025 жылдарға арналған бюджеті 16, 17, 18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64 020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2023-2025 жылдарға арналған бюджеті 19, 20, 21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52 873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2023-2025 жылдарға арналған бюджеті 22, 23, 24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37 079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-1 149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2023-2025 жылдарға арналған бюджеті 25, 26, 27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2023-2025 жылдарға арналған бюджеті 28, 29, 30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2023-2025 жылдарға арналған бюджеті 31, 32, 33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2023-2025 жылдарға арналған бюджеті 34, 35, 36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46 945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-1933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2023-2025 жылдарға арналған бюджеті 37, 38, 39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39 449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4/24-VIII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36/163-VІI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