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31a8" w14:textId="cf33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28 желтқсандағы "2023–2025 жылдарға арналған ауылдық округтердің бюджеттері туралы" № 27/161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25 желтоқсандағы № 11/50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2023 - 2025 жылдарға арналған бюджеті тиісінше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71 967мың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2023- 2025 жылдарға арналған бюджеті тиісінше 4, 5 және 6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70 171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2023-2025 жылдарға арналған бюджеті тиісінше 7, 8 және 9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69 343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2023 - 2025 жылдарға арналған бюджеті тиісінше 10, 11 және 12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2023 - 2025 жылдарға арналған бюджеті тиісінше 13, 14 және 15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2023 - 2025 жылдарға арналған бюджеті тиісінше 16, 17 және 18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2023 - 2025 жылдарға арналған бюджеті тиісінше 19, 20 және 21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60 117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2023 – 2025 жылдарға арналған бюджеті тиісінше 22, 23 және 24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2023 - 2025 жылдарға арналған бюджеті тиісінше 25, 26 және 27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2023 - 2025 жылдарға арналған бюджеті тиісінше 28, 29 және 30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2023 - 2025 жылдарға арналған бюджеті тиісінше 31, 32 және 33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146 669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2 168 мың теңге.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 50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