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99c6" w14:textId="1419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Индер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Атырау облысы Индер аудандық мәслихатының 2023 жылғы 16 мамырдағы № 9-VIII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8-тармақтарына</w:t>
      </w:r>
      <w:r>
        <w:rPr>
          <w:rFonts w:ascii="Times New Roman"/>
          <w:b w:val="false"/>
          <w:i w:val="false"/>
          <w:color w:val="000000"/>
          <w:sz w:val="28"/>
        </w:rPr>
        <w:t xml:space="preserve"> және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Индер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Индер аудандық мәслихатының 27.09.2023 № </w:t>
      </w:r>
      <w:r>
        <w:rPr>
          <w:rFonts w:ascii="Times New Roman"/>
          <w:b w:val="false"/>
          <w:i w:val="false"/>
          <w:color w:val="000000"/>
          <w:sz w:val="28"/>
        </w:rPr>
        <w:t>38-VIII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2023 жылға арналған Индер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аппраттарының мемлекеттік қызметшілеріне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