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0c54" w14:textId="dcb0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28 желтоқсандағы № 10/18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тіркелді) және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болып тіркелді) сәйкес, Тимирязев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2024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1"/>
    <w:bookmarkStart w:name="z6" w:id="2"/>
    <w:p>
      <w:pPr>
        <w:spacing w:after="0"/>
        <w:ind w:left="0"/>
        <w:jc w:val="both"/>
      </w:pPr>
      <w:r>
        <w:rPr>
          <w:rFonts w:ascii="Times New Roman"/>
          <w:b w:val="false"/>
          <w:i w:val="false"/>
          <w:color w:val="000000"/>
          <w:sz w:val="28"/>
        </w:rPr>
        <w:t>
      1) көтерме жәрдемақы жүз еселік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xml:space="preserve">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 </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