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830e" w14:textId="2b78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Амангелді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10/136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Амангелді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Амангелді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10/136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Амангелді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Амангелді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Амангелді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және әлеуметтік желілер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Амангелді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10/136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Амангелді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Амангелді ауылының тұрғындары үшін:</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Строительная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Мир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 Махин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Ыбыраев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Восточная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Целинная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Береговая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Абай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Сәбит Мүқанов көшесі </w:t>
            </w:r>
          </w:p>
          <w:p>
            <w:pPr>
              <w:spacing w:after="20"/>
              <w:ind w:left="20"/>
              <w:jc w:val="both"/>
            </w:pPr>
            <w:r>
              <w:rPr>
                <w:rFonts w:ascii="Times New Roman"/>
                <w:b w:val="false"/>
                <w:i w:val="false"/>
                <w:color w:val="000000"/>
                <w:sz w:val="20"/>
              </w:rPr>
              <w:t xml:space="preserve">
Садовая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3</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Поляковка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Талапкер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