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12f1" w14:textId="ab11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лматы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3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Алматы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Алматы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3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Алматы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Алматы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Алматы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және әлеуметтік желілер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лматы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3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Алматы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Өрнек ауылының тұрғындары үшін:</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стар </w:t>
            </w:r>
          </w:p>
          <w:p>
            <w:pPr>
              <w:spacing w:after="20"/>
              <w:ind w:left="20"/>
              <w:jc w:val="both"/>
            </w:pPr>
            <w:r>
              <w:rPr>
                <w:rFonts w:ascii="Times New Roman"/>
                <w:b w:val="false"/>
                <w:i w:val="false"/>
                <w:color w:val="000000"/>
                <w:sz w:val="20"/>
              </w:rPr>
              <w:t xml:space="preserve">
Көкте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3</w:t>
            </w:r>
          </w:p>
          <w:bookmarkEnd w:id="34"/>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Мектеп ауылының тұрғындары үшін:</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ктерек </w:t>
            </w:r>
          </w:p>
          <w:p>
            <w:pPr>
              <w:spacing w:after="20"/>
              <w:ind w:left="20"/>
              <w:jc w:val="both"/>
            </w:pPr>
            <w:r>
              <w:rPr>
                <w:rFonts w:ascii="Times New Roman"/>
                <w:b w:val="false"/>
                <w:i w:val="false"/>
                <w:color w:val="000000"/>
                <w:sz w:val="20"/>
              </w:rPr>
              <w:t xml:space="preserve">
Берег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3</w:t>
            </w:r>
          </w:p>
          <w:bookmarkEnd w:id="36"/>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