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f0ff" w14:textId="b50f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2022 жылғы 23 желтоқсандағы "2023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 133/38 шешіміне өзгеріс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2023 жылғы 8 қарашадағы № 36/12 шешімі</w:t>
      </w:r>
    </w:p>
    <w:p>
      <w:pPr>
        <w:spacing w:after="0"/>
        <w:ind w:left="0"/>
        <w:jc w:val="both"/>
      </w:pPr>
      <w:bookmarkStart w:name="z1" w:id="0"/>
      <w:r>
        <w:rPr>
          <w:rFonts w:ascii="Times New Roman"/>
          <w:b w:val="false"/>
          <w:i w:val="false"/>
          <w:color w:val="000000"/>
          <w:sz w:val="28"/>
        </w:rPr>
        <w:t>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2022 жылғы 2023 желтоқсандағы "2023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 133/38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