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5c6a" w14:textId="aac5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Кемеңгер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8/89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Кемеңгер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26 қаңтардағы "Павлодар ауданы Кемеңгер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20/108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8/89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Кемеңгер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Кемеңгер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Кемеңгер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Кемеңгер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Кемеңгер ауылдық округінің аумағы: Кемеңгер, Шанды, Красноармейка станциясы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Кемеңгер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Кемеңгер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Кемеңгер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Кемеңгер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Кемеңгер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Кемеңгер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Кемеңгер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Кемеңгер ауылы – 3 адам;</w:t>
      </w:r>
    </w:p>
    <w:p>
      <w:pPr>
        <w:spacing w:after="0"/>
        <w:ind w:left="0"/>
        <w:jc w:val="both"/>
      </w:pPr>
      <w:r>
        <w:rPr>
          <w:rFonts w:ascii="Times New Roman"/>
          <w:b w:val="false"/>
          <w:i w:val="false"/>
          <w:color w:val="000000"/>
          <w:sz w:val="28"/>
        </w:rPr>
        <w:t>
      Шанды ауылы – 2 адам;</w:t>
      </w:r>
    </w:p>
    <w:p>
      <w:pPr>
        <w:spacing w:after="0"/>
        <w:ind w:left="0"/>
        <w:jc w:val="both"/>
      </w:pPr>
      <w:r>
        <w:rPr>
          <w:rFonts w:ascii="Times New Roman"/>
          <w:b w:val="false"/>
          <w:i w:val="false"/>
          <w:color w:val="000000"/>
          <w:sz w:val="28"/>
        </w:rPr>
        <w:t>
      Красноармейка станциясы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