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3f83" w14:textId="28f3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Северный ауылдық округінің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9-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Северный ауылдық округінің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налысына қатысу үшін Ертіс ауданы Северный ауылдық округі тұрғындарының жалпы санының 1 (бір) % (пайыз), бірақ 1 (бір) адам кем емес және 3 (үш )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9-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Северный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Северный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Северный ауылдық округінің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Северный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Северный ауылдық округінің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Северный ауылдық округінің әкімі ауыл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Северный ауылдық округіні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w:t>
      </w:r>
    </w:p>
    <w:p>
      <w:pPr>
        <w:spacing w:after="0"/>
        <w:ind w:left="0"/>
        <w:jc w:val="both"/>
      </w:pPr>
      <w:r>
        <w:rPr>
          <w:rFonts w:ascii="Times New Roman"/>
          <w:b w:val="false"/>
          <w:i w:val="false"/>
          <w:color w:val="000000"/>
          <w:sz w:val="28"/>
        </w:rPr>
        <w:t>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Северный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Северный ауылдық округіні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еверный ауылдық округіні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