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9992" w14:textId="be89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2022 жылғы 27 желтоқсандағы "2023 – 2025 жылдарға арналған Ертіс ауданының ауылдар және ауылдық округтерінің бюджеті туралы" № 108-27-7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2023 жылғы 7 желтоқсандағы № 39-11-8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аудандық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2022 жылғы 27 желтоқсандағы "2023 – 2025 жылдарға арналған Ертіс ауданының ауылдар және ауылдық округтерінің бюджеті туралы" № 108-27-7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 – 2025 жылдарға арналған Ағашорын ауылдық округінің бюджеті тиісінше 1, 2 және 3-қосымшаларға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44706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510 мың теңге.";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2023 – 2025 жылдарға арналған Аманкелді ауылдық округінің бюджеті тиісінше 4, 5 және 6-қосымшаларға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163013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160207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2023 – 2025 жылдарға арналған Байзақов ауылдық округінің бюджеті тиісінше 7, 8 және 9-қосымшаларға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38126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3503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– 2025 жылдарға арналған Голубовка ауылының бюджеті тиісінше 10, 11 және 12-қосымшаларға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38382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606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– 2025 жылдарға арналған Ертіс ауылының бюджеті тиісінше 13, 14 және 15-қосымшаларға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186379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135583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5070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 – 2025 жылдарға арналған Қарақұдық ауылдық округінің бюджеті тиісінше 16, 17 және 18-қосымшаларға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31117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2023 – 2025 жылдарға арналған Қоскөл ауылдық округінің бюджеті тиісінше 19, 20 және 21-қосымшаларға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38281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- 36592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осы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2023 – 2025 жылдарға арналған Қызылжар ауылдық округінің бюджеті тиісінше 22, 23 және 24-қосымшаларға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38731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5015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2023 – 2025 жылдарға арналған Майқоңыр ауылының бюджеті тиісінше 25, 26 және 27-қосымшаларға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30791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825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2023 – 2025 жылдарға арналған Панфилов ауылдық округінің бюджеті тиісінше 28, 29 және 30-қосымшаларға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42992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539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2023 – 2025 жылдарға арналған Северный ауылдық округінің бюджеті тиісінше 31, 32 және 33-қосымшаларға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57636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–57957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321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2023 – 2025 жылдарға арналған Сілеті ауылдық округінің бюджеті тиісінше 34, 35 және 36-қосымшаларға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40036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Ағашорын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алынатын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Аманкелді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алынатын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Байзақов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алынатын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Голубовка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алынатын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Ертіс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Қарақұдық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Қоскөл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 № 39-11-8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Майқоңыр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Панфилов ауылдық округінің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Северный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Сілеті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