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a117" w14:textId="2d4a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жер пайдалану құқығын (қоғамдық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Озерный ауылдық округі әкімінің 2023 жылғы 17 қарашадағы № 11 шешімі. Күші жойылды - Қостанай облысы Қостанай ауданы Озерный ауылдық округі әкімінің 2024 жылғы 5 сәуірдегі № 5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Озерный ауылдық округі әкімінің 05.04.2024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 Озерный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B2G сегмент үшін ТОБЖ құрылысы" объектісі бойынша талшықты-оптикалық байланыс желісін төсеу қызмет көрсету және пайдалану үшін Қостанай облысы, Қостанай ауданы, Озерный ауылдық округі, Озерный ауылы, Пушкин көшесі, аумағында орналасқан, бағдарлау ауданы 1,00 гектар жер учаскесіне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Озерный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Бермухамедов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