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eac" w14:textId="70eb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Мәскеу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Мәскеу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Мәскеу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31 тамыздағы № 200 "Қостанай облысы Қостанай ауданы Мәскеу ауылдық округінің бөлек жергілікті қоғамдастық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Мәскеу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Мәскеу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Мәскеу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Мәскеу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Мәскеу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Мәскеу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Мәскеу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Мәскеу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Мәскеу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Мәскеу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ауылдық округінің ауыл,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