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dc31" w14:textId="a93d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Ибраимов Даурен Дулатовичке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2023 жылғы 25 мамырдағы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Ибраимов Даурен Дулатовичке өту және жол жүру үшін, Қостанай ауданының Тобыл қаласы аумағында орналасқан, жалпы ауданы 0,23 гектар, 4 (төрт)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Орлова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