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1d62" w14:textId="5091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2023 жылғы 30 наурыздағы № 66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Қарасу ауданы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Қарасу ауданы жергілікті атқарушы органдарының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Қостанай облысы Қарасу ауданы әкімдігінің 14.08.2025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Қарасу ауданы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9"/>
    <w:bookmarkStart w:name="z24"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25"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2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3"/>
    <w:bookmarkStart w:name="z28"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9"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30"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31"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32"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33"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9"/>
    <w:bookmarkStart w:name="z34"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35"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6" w:id="22"/>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2"/>
    <w:bookmarkStart w:name="z37"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8"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9"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40"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41"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42"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3"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4"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7"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8" w:id="34"/>
    <w:p>
      <w:pPr>
        <w:spacing w:after="0"/>
        <w:ind w:left="0"/>
        <w:jc w:val="both"/>
      </w:pPr>
      <w:r>
        <w:rPr>
          <w:rFonts w:ascii="Times New Roman"/>
          <w:b w:val="false"/>
          <w:i w:val="false"/>
          <w:color w:val="000000"/>
          <w:sz w:val="28"/>
        </w:rPr>
        <w:t>
      8. Бағалауды ұйымдастырушылық сүйемелдеуді "Қарасу ауданы әкімінің аппараты" мемлекеттік мекемесінің бірыңғай персоналды басқару қызметі (бұдан әрі – персоналды басқару қызметі), соның ішінде ақпараттық жүйе арқылы қамтамасыз етеді.</w:t>
      </w:r>
    </w:p>
    <w:bookmarkEnd w:id="34"/>
    <w:bookmarkStart w:name="z49" w:id="3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5"/>
    <w:bookmarkStart w:name="z50"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1" w:id="3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2" w:id="38"/>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53" w:id="3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54" w:id="40"/>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5" w:id="4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6" w:id="4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2"/>
    <w:bookmarkStart w:name="z57"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8"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9"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60"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61"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62" w:id="48"/>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63" w:id="49"/>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64"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5" w:id="51"/>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1"/>
    <w:bookmarkStart w:name="z66"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7"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8"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9" w:id="55"/>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70" w:id="56"/>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71"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72"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73"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bookmarkEnd w:id="59"/>
    <w:bookmarkStart w:name="z74" w:id="60"/>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5" w:id="61"/>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1"/>
    <w:bookmarkStart w:name="z76"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77"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8"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9"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80"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81"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82"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83"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84"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5"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6"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