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6f59" w14:textId="9436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Адаевка ауылдық округінің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Адаевка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Адаевка ауылдық округінің жергілікті қоғамдастықтың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Адаевка ауылдық округінің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Адаевка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Адаевка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Адаевка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