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76c4" w14:textId="cc27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 қарашадағы № 241 "Жітіқара ауданы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2023 жылғы 19 қыркүйектегі № 190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әкімінің аппараты" мемлекеттік мекемесі туралы ережені бекіту туралы" 2021 жылғы 3 қарашадағы № 241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28), 29), 30) тармақшалары алынып тасталсын.</w:t>
      </w:r>
    </w:p>
    <w:bookmarkStart w:name="z8"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4"/>
    <w:bookmarkStart w:name="z10" w:id="5"/>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3) осы қаулыны ресми жарияланғаннан кейін оның Жітіқара ауданы әкімдігінің интернет - 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