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6660" w14:textId="d8a6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30 қарашадағы № 558 "Қостанай облысы әкімдігінің құрылыс, сәулет және қала құрылысы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2023 жылғы 6 маусымдағы № 233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құрылыс, сәулет және қала құрылысы басқармасы" мемлекеттік мекемесі туралы ережені бекіту туралы" 2021 жылғы 30 қарашадағы </w:t>
      </w:r>
      <w:r>
        <w:rPr>
          <w:rFonts w:ascii="Times New Roman"/>
          <w:b w:val="false"/>
          <w:i w:val="false"/>
          <w:color w:val="000000"/>
          <w:sz w:val="28"/>
        </w:rPr>
        <w:t>№ 558</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құрылыс, сәулет және қала құрылысы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17-1) және 17-2) тармақшаларымен толықтырылсын:</w:t>
      </w:r>
    </w:p>
    <w:bookmarkStart w:name="z8" w:id="3"/>
    <w:p>
      <w:pPr>
        <w:spacing w:after="0"/>
        <w:ind w:left="0"/>
        <w:jc w:val="both"/>
      </w:pPr>
      <w:r>
        <w:rPr>
          <w:rFonts w:ascii="Times New Roman"/>
          <w:b w:val="false"/>
          <w:i w:val="false"/>
          <w:color w:val="000000"/>
          <w:sz w:val="28"/>
        </w:rPr>
        <w:t>
      "17-1) мемлекеттік тұрғын үй қорынан тұрғын үй алуға кезекте тұрған азаматтардың кезектілігінің мониторингін жүзеге асырады;</w:t>
      </w:r>
    </w:p>
    <w:bookmarkEnd w:id="3"/>
    <w:bookmarkStart w:name="z9" w:id="4"/>
    <w:p>
      <w:pPr>
        <w:spacing w:after="0"/>
        <w:ind w:left="0"/>
        <w:jc w:val="both"/>
      </w:pPr>
      <w:r>
        <w:rPr>
          <w:rFonts w:ascii="Times New Roman"/>
          <w:b w:val="false"/>
          <w:i w:val="false"/>
          <w:color w:val="000000"/>
          <w:sz w:val="28"/>
        </w:rPr>
        <w:t>
      17-2) авариялық (ескірген) тұрғын үйді бұзу жөніндегі бағдарламаларды іске асыруға қатысады;".</w:t>
      </w:r>
    </w:p>
    <w:bookmarkEnd w:id="4"/>
    <w:bookmarkStart w:name="z10" w:id="5"/>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